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0A3DC4F" w14:textId="077182FE" w:rsidR="002309ED" w:rsidRDefault="002309ED" w:rsidP="002309ED">
      <w:pPr>
        <w:rPr>
          <w:rFonts w:ascii="Arial" w:hAnsi="Arial" w:cs="Arial"/>
          <w:b/>
          <w:bCs/>
          <w:color w:val="002060"/>
          <w:sz w:val="32"/>
          <w:szCs w:val="32"/>
        </w:rPr>
      </w:pPr>
      <w:r w:rsidRPr="006C3007">
        <w:rPr>
          <w:rFonts w:ascii="Arial" w:hAnsi="Arial" w:cs="Arial"/>
          <w:b/>
          <w:bCs/>
          <w:color w:val="002060"/>
          <w:sz w:val="32"/>
          <w:szCs w:val="32"/>
        </w:rPr>
        <w:t>What the</w:t>
      </w:r>
      <w:r w:rsidR="00CC3314" w:rsidRPr="006C3007">
        <w:rPr>
          <w:rFonts w:ascii="Arial" w:hAnsi="Arial" w:cs="Arial"/>
          <w:b/>
          <w:bCs/>
          <w:color w:val="002060"/>
          <w:sz w:val="32"/>
          <w:szCs w:val="32"/>
        </w:rPr>
        <w:t xml:space="preserve"> </w:t>
      </w:r>
      <w:r w:rsidRPr="006C3007">
        <w:rPr>
          <w:rFonts w:ascii="Arial" w:hAnsi="Arial" w:cs="Arial"/>
          <w:b/>
          <w:bCs/>
          <w:color w:val="002060"/>
          <w:sz w:val="32"/>
          <w:szCs w:val="32"/>
        </w:rPr>
        <w:t xml:space="preserve">CGT reforms </w:t>
      </w:r>
      <w:r w:rsidR="00A002FB">
        <w:rPr>
          <w:rFonts w:ascii="Arial" w:hAnsi="Arial" w:cs="Arial"/>
          <w:b/>
          <w:bCs/>
          <w:color w:val="002060"/>
          <w:sz w:val="32"/>
          <w:szCs w:val="32"/>
        </w:rPr>
        <w:t xml:space="preserve">may </w:t>
      </w:r>
      <w:r w:rsidRPr="006C3007">
        <w:rPr>
          <w:rFonts w:ascii="Arial" w:hAnsi="Arial" w:cs="Arial"/>
          <w:b/>
          <w:bCs/>
          <w:color w:val="002060"/>
          <w:sz w:val="32"/>
          <w:szCs w:val="32"/>
        </w:rPr>
        <w:t>mean for investors</w:t>
      </w:r>
    </w:p>
    <w:p w14:paraId="7D24E1B2" w14:textId="77777777" w:rsidR="00983EEA" w:rsidRPr="00983EEA" w:rsidRDefault="00983EEA" w:rsidP="00983EEA">
      <w:p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t>The Federal Budget included changes to Capital Gains Tax (CGT) that are now law. These reforms mark a significant shift in the tax rules and are expected to have a fundamental impact on how Australians invest and build wealth outside superannuation.</w:t>
      </w:r>
    </w:p>
    <w:p w14:paraId="0AF35830" w14:textId="2E96B64F" w:rsidR="00983EEA" w:rsidRPr="00983EEA" w:rsidRDefault="00983EEA" w:rsidP="00983EEA">
      <w:p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t>With the direction of the reforms now confirmed, now is an important time to review whether the way you hold your investments is still supporting the financial future you’re working towards. How you invest remains important, but increasingly, how you hold those investments matters just as much.</w:t>
      </w:r>
    </w:p>
    <w:p w14:paraId="348AD9EB" w14:textId="77777777" w:rsidR="00983EEA" w:rsidRPr="00983EEA" w:rsidRDefault="00983EEA" w:rsidP="00983EEA">
      <w:pPr>
        <w:spacing w:before="100" w:beforeAutospacing="1" w:after="100" w:afterAutospacing="1" w:line="240" w:lineRule="auto"/>
        <w:rPr>
          <w:rFonts w:ascii="Arial" w:eastAsia="Times New Roman" w:hAnsi="Arial" w:cs="Arial"/>
          <w:b/>
          <w:bCs/>
          <w:kern w:val="0"/>
          <w:sz w:val="18"/>
          <w:szCs w:val="18"/>
          <w:lang w:eastAsia="en-GB"/>
          <w14:ligatures w14:val="none"/>
        </w:rPr>
      </w:pPr>
      <w:r w:rsidRPr="00983EEA">
        <w:rPr>
          <w:rFonts w:ascii="Arial" w:eastAsia="Times New Roman" w:hAnsi="Arial" w:cs="Arial"/>
          <w:b/>
          <w:bCs/>
          <w:kern w:val="0"/>
          <w:sz w:val="18"/>
          <w:szCs w:val="18"/>
          <w:lang w:eastAsia="en-GB"/>
          <w14:ligatures w14:val="none"/>
        </w:rPr>
        <w:t>What has changed?</w:t>
      </w:r>
    </w:p>
    <w:p w14:paraId="4DD6D3DA" w14:textId="77777777" w:rsidR="00983EEA" w:rsidRPr="00983EEA" w:rsidRDefault="00983EEA" w:rsidP="00983EEA">
      <w:p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t>From 1 July 2027, the current 50% CGT discount approach for assets held longer than 12 months will be replaced with a cost base indexation approach. Additionally, taxable capital gains will be subject to a minimum rate of tax of 30% for most Australians, irrespective of their actual marginal tax rate.</w:t>
      </w:r>
    </w:p>
    <w:p w14:paraId="458A36F9" w14:textId="77777777" w:rsidR="00983EEA" w:rsidRPr="00983EEA" w:rsidRDefault="00983EEA" w:rsidP="00983EEA">
      <w:p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t>The changes apply to a broad range of commonly held investments, including shares, investment properties and managed funds held personally, through trusts or partnerships.</w:t>
      </w:r>
    </w:p>
    <w:p w14:paraId="626BD40F" w14:textId="77777777" w:rsidR="00983EEA" w:rsidRPr="00983EEA" w:rsidRDefault="00983EEA" w:rsidP="00983EEA">
      <w:p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t>The new rules introduce a more complex framework for calculating capital gains and may increase the tax payable on investments over time.</w:t>
      </w:r>
    </w:p>
    <w:p w14:paraId="5DB328FA" w14:textId="77777777" w:rsidR="00983EEA" w:rsidRPr="00983EEA" w:rsidRDefault="00983EEA" w:rsidP="00983EEA">
      <w:p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t>For many investors, this represents a shift away from the tax simplicity that they previously knew to be the case.</w:t>
      </w:r>
    </w:p>
    <w:p w14:paraId="3D37DD61" w14:textId="77777777" w:rsidR="00983EEA" w:rsidRPr="00983EEA" w:rsidRDefault="00983EEA" w:rsidP="00983EEA">
      <w:pPr>
        <w:spacing w:before="100" w:beforeAutospacing="1" w:after="100" w:afterAutospacing="1" w:line="240" w:lineRule="auto"/>
        <w:rPr>
          <w:rFonts w:ascii="Arial" w:eastAsia="Times New Roman" w:hAnsi="Arial" w:cs="Arial"/>
          <w:b/>
          <w:bCs/>
          <w:kern w:val="0"/>
          <w:sz w:val="18"/>
          <w:szCs w:val="18"/>
          <w:lang w:eastAsia="en-GB"/>
          <w14:ligatures w14:val="none"/>
        </w:rPr>
      </w:pPr>
      <w:r w:rsidRPr="00983EEA">
        <w:rPr>
          <w:rFonts w:ascii="Arial" w:eastAsia="Times New Roman" w:hAnsi="Arial" w:cs="Arial"/>
          <w:b/>
          <w:bCs/>
          <w:kern w:val="0"/>
          <w:sz w:val="18"/>
          <w:szCs w:val="18"/>
          <w:lang w:eastAsia="en-GB"/>
          <w14:ligatures w14:val="none"/>
        </w:rPr>
        <w:t>Why does this matter?</w:t>
      </w:r>
    </w:p>
    <w:p w14:paraId="2334B4EC" w14:textId="77777777" w:rsidR="00983EEA" w:rsidRPr="00983EEA" w:rsidRDefault="00983EEA" w:rsidP="00983EEA">
      <w:p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t>Many Australians have spent years building wealth outside superannuation through shares, managed funds and investment properties, with the goal of creating greater financial security for themselves and their families. Under the new rules, these investments will be subject to more complex tax calculations, new uncertainty of the after-tax outcomes, and a floor on the level of tax that will be paid. As a result, the strategy that served you well in the past, may not necessarily deliver the same outcomes in the future.</w:t>
      </w:r>
    </w:p>
    <w:p w14:paraId="380D7DAE" w14:textId="77777777" w:rsidR="00983EEA" w:rsidRPr="00983EEA" w:rsidRDefault="00983EEA" w:rsidP="00983EEA">
      <w:p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t>That makes now a valuable opportunity to step back and review whether the way your investments are structured continues to support your long-term goals and the legacy you want to build. The key question is no longer simply “What should I invest in?”; it is also, "Am I holding my investments in the most effective way for the future?"</w:t>
      </w:r>
    </w:p>
    <w:p w14:paraId="789B3BAC" w14:textId="77777777" w:rsidR="00983EEA" w:rsidRPr="00983EEA" w:rsidRDefault="00983EEA" w:rsidP="00983EEA">
      <w:pPr>
        <w:spacing w:before="100" w:beforeAutospacing="1" w:after="100" w:afterAutospacing="1" w:line="240" w:lineRule="auto"/>
        <w:rPr>
          <w:rFonts w:ascii="Arial" w:eastAsia="Times New Roman" w:hAnsi="Arial" w:cs="Arial"/>
          <w:b/>
          <w:bCs/>
          <w:kern w:val="0"/>
          <w:sz w:val="18"/>
          <w:szCs w:val="18"/>
          <w:lang w:eastAsia="en-GB"/>
          <w14:ligatures w14:val="none"/>
        </w:rPr>
      </w:pPr>
      <w:r w:rsidRPr="00983EEA">
        <w:rPr>
          <w:rFonts w:ascii="Arial" w:eastAsia="Times New Roman" w:hAnsi="Arial" w:cs="Arial"/>
          <w:b/>
          <w:bCs/>
          <w:kern w:val="0"/>
          <w:sz w:val="18"/>
          <w:szCs w:val="18"/>
          <w:lang w:eastAsia="en-GB"/>
          <w14:ligatures w14:val="none"/>
        </w:rPr>
        <w:t>An alternative worth considering</w:t>
      </w:r>
    </w:p>
    <w:p w14:paraId="764D2FEA" w14:textId="77777777" w:rsidR="00983EEA" w:rsidRPr="00983EEA" w:rsidRDefault="00983EEA" w:rsidP="00983EEA">
      <w:p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t>Investment bonds have long been used as a tax-effective investment structure for Australians looking to build wealth outside superannuation.</w:t>
      </w:r>
    </w:p>
    <w:p w14:paraId="0A341C92" w14:textId="77777777" w:rsidR="00983EEA" w:rsidRPr="00983EEA" w:rsidRDefault="00983EEA" w:rsidP="00983EEA">
      <w:p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t>Unlike personally held investments, investment bonds do not generate personal capital gains tax liabilities when investment options are changed within the investment bond. Instead, earnings (including capital gains) are taxed internally within the bond structure at a maximum effective rate of up to 30%.</w:t>
      </w:r>
    </w:p>
    <w:p w14:paraId="0C38CA8F" w14:textId="77777777" w:rsidR="00983EEA" w:rsidRPr="00983EEA" w:rsidRDefault="00983EEA" w:rsidP="00983EEA">
      <w:p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t>Importantly, where an investment bond is held for at least 10 years and the 10-year period is not reset, withdrawals are generally tax-paid, meaning no additional personal tax is payable.</w:t>
      </w:r>
    </w:p>
    <w:p w14:paraId="79BF884B" w14:textId="77777777" w:rsidR="00983EEA" w:rsidRPr="00983EEA" w:rsidRDefault="00983EEA" w:rsidP="00983EEA">
      <w:p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t>Investment bonds can also offer other benefits, including:</w:t>
      </w:r>
    </w:p>
    <w:p w14:paraId="43DC95DD" w14:textId="1EA17960" w:rsidR="00983EEA" w:rsidRPr="00983EEA" w:rsidRDefault="00983EEA" w:rsidP="00983EEA">
      <w:pPr>
        <w:pStyle w:val="ListParagraph"/>
        <w:numPr>
          <w:ilvl w:val="0"/>
          <w:numId w:val="3"/>
        </w:num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t xml:space="preserve">Simplicity in managing tax affairs with no annual personal tax reporting on investment earnings </w:t>
      </w:r>
    </w:p>
    <w:p w14:paraId="006E196E" w14:textId="06BC260E" w:rsidR="00983EEA" w:rsidRPr="00983EEA" w:rsidRDefault="00983EEA" w:rsidP="00983EEA">
      <w:pPr>
        <w:pStyle w:val="ListParagraph"/>
        <w:numPr>
          <w:ilvl w:val="0"/>
          <w:numId w:val="3"/>
        </w:num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t xml:space="preserve">No personal CGT events when switching investment options or asset classes </w:t>
      </w:r>
    </w:p>
    <w:p w14:paraId="1AD231C8" w14:textId="2F7B0200" w:rsidR="00983EEA" w:rsidRPr="00983EEA" w:rsidRDefault="00983EEA" w:rsidP="00983EEA">
      <w:pPr>
        <w:pStyle w:val="ListParagraph"/>
        <w:numPr>
          <w:ilvl w:val="0"/>
          <w:numId w:val="3"/>
        </w:num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t xml:space="preserve">A simple to use investment solution for long-term wealth accumulation </w:t>
      </w:r>
    </w:p>
    <w:p w14:paraId="0CCC8E91" w14:textId="6B8A02E1" w:rsidR="00983EEA" w:rsidRPr="00983EEA" w:rsidRDefault="00983EEA" w:rsidP="00983EEA">
      <w:pPr>
        <w:pStyle w:val="ListParagraph"/>
        <w:numPr>
          <w:ilvl w:val="0"/>
          <w:numId w:val="3"/>
        </w:num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t xml:space="preserve">Estate planning flexibility including providing beneficiary nomination features </w:t>
      </w:r>
    </w:p>
    <w:p w14:paraId="1E86058A" w14:textId="3B513A7D" w:rsidR="00983EEA" w:rsidRPr="00983EEA" w:rsidRDefault="00983EEA" w:rsidP="00983EEA">
      <w:pPr>
        <w:pStyle w:val="ListParagraph"/>
        <w:numPr>
          <w:ilvl w:val="0"/>
          <w:numId w:val="3"/>
        </w:num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t xml:space="preserve">No tax payable on death or payment of death benefits to non-dependants </w:t>
      </w:r>
    </w:p>
    <w:p w14:paraId="168F4B73" w14:textId="77777777" w:rsidR="00983EEA" w:rsidRPr="00983EEA" w:rsidRDefault="00983EEA" w:rsidP="00983EEA">
      <w:pPr>
        <w:spacing w:before="100" w:beforeAutospacing="1" w:after="100" w:afterAutospacing="1" w:line="240" w:lineRule="auto"/>
        <w:rPr>
          <w:rFonts w:ascii="Arial" w:eastAsia="Times New Roman" w:hAnsi="Arial" w:cs="Arial"/>
          <w:b/>
          <w:bCs/>
          <w:kern w:val="0"/>
          <w:sz w:val="18"/>
          <w:szCs w:val="18"/>
          <w:lang w:eastAsia="en-GB"/>
          <w14:ligatures w14:val="none"/>
        </w:rPr>
      </w:pPr>
      <w:r w:rsidRPr="00983EEA">
        <w:rPr>
          <w:rFonts w:ascii="Arial" w:eastAsia="Times New Roman" w:hAnsi="Arial" w:cs="Arial"/>
          <w:b/>
          <w:bCs/>
          <w:kern w:val="0"/>
          <w:sz w:val="18"/>
          <w:szCs w:val="18"/>
          <w:lang w:eastAsia="en-GB"/>
          <w14:ligatures w14:val="none"/>
        </w:rPr>
        <w:t>Looking ahead</w:t>
      </w:r>
    </w:p>
    <w:p w14:paraId="124E417A" w14:textId="77777777" w:rsidR="00983EEA" w:rsidRPr="00983EEA" w:rsidRDefault="00983EEA" w:rsidP="00983EEA">
      <w:p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t>With the CGT changes now law, the direction of change is clear.</w:t>
      </w:r>
    </w:p>
    <w:p w14:paraId="5F32941D" w14:textId="5051EAA4" w:rsidR="00983EEA" w:rsidRPr="00983EEA" w:rsidRDefault="00983EEA" w:rsidP="00983EEA">
      <w:p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lastRenderedPageBreak/>
        <w:t>While no one can control changes to tax legislation, you can take steps for your financial strategy to evolve with it. As tax settings change, the structure used to hold investments can have a meaningful impact on the wealth you build and preserve over the long term.</w:t>
      </w:r>
    </w:p>
    <w:p w14:paraId="3268F3DE" w14:textId="77777777" w:rsidR="00983EEA" w:rsidRPr="00983EEA" w:rsidRDefault="00983EEA" w:rsidP="00983EEA">
      <w:p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t>Periods of legislative change can feel unsettling, but they can also create an opportunity to make sure your financial strategy remains aligned with what matters most to you and your family.</w:t>
      </w:r>
    </w:p>
    <w:p w14:paraId="7F6046EA" w14:textId="77777777" w:rsidR="00983EEA" w:rsidRPr="00983EEA" w:rsidRDefault="00983EEA" w:rsidP="00983EEA">
      <w:p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t>Taking the time to review your investment strategy today, could help give you greater confidence that the wealth you've worked hard to build can continue to support your future goals for years to come.</w:t>
      </w:r>
    </w:p>
    <w:p w14:paraId="2B8D72D9" w14:textId="77777777" w:rsidR="00983EEA" w:rsidRPr="00983EEA" w:rsidRDefault="00983EEA" w:rsidP="00983EEA">
      <w:p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t xml:space="preserve">If you've been wondering what these changes mean for your investments, you're not alone. Every investor's circumstances are different, and the impact of these reforms will depend on how your investments are structured. </w:t>
      </w:r>
    </w:p>
    <w:p w14:paraId="6C7BC1A0" w14:textId="77777777" w:rsidR="00983EEA" w:rsidRPr="00983EEA" w:rsidRDefault="00983EEA" w:rsidP="00983EEA">
      <w:pPr>
        <w:spacing w:before="100" w:beforeAutospacing="1" w:after="100" w:afterAutospacing="1" w:line="240" w:lineRule="auto"/>
        <w:rPr>
          <w:rFonts w:ascii="Arial" w:eastAsia="Times New Roman" w:hAnsi="Arial" w:cs="Arial"/>
          <w:b/>
          <w:bCs/>
          <w:kern w:val="0"/>
          <w:sz w:val="18"/>
          <w:szCs w:val="18"/>
          <w:lang w:eastAsia="en-GB"/>
          <w14:ligatures w14:val="none"/>
        </w:rPr>
      </w:pPr>
      <w:r w:rsidRPr="00983EEA">
        <w:rPr>
          <w:rFonts w:ascii="Arial" w:eastAsia="Times New Roman" w:hAnsi="Arial" w:cs="Arial"/>
          <w:b/>
          <w:bCs/>
          <w:kern w:val="0"/>
          <w:sz w:val="18"/>
          <w:szCs w:val="18"/>
          <w:lang w:eastAsia="en-GB"/>
          <w14:ligatures w14:val="none"/>
        </w:rPr>
        <w:t>&lt;Financial Adviser to insert own CTA. Sample wording below&gt;</w:t>
      </w:r>
    </w:p>
    <w:p w14:paraId="6DF9FAFF" w14:textId="62C00C50" w:rsidR="00983EEA" w:rsidRPr="006C3007" w:rsidRDefault="00983EEA" w:rsidP="00983EEA">
      <w:pPr>
        <w:spacing w:before="100" w:beforeAutospacing="1" w:after="100" w:afterAutospacing="1" w:line="240" w:lineRule="auto"/>
        <w:rPr>
          <w:rFonts w:ascii="Arial" w:eastAsia="Times New Roman" w:hAnsi="Arial" w:cs="Arial"/>
          <w:kern w:val="0"/>
          <w:sz w:val="18"/>
          <w:szCs w:val="18"/>
          <w:lang w:eastAsia="en-GB"/>
          <w14:ligatures w14:val="none"/>
        </w:rPr>
      </w:pPr>
      <w:r w:rsidRPr="00983EEA">
        <w:rPr>
          <w:rFonts w:ascii="Arial" w:eastAsia="Times New Roman" w:hAnsi="Arial" w:cs="Arial"/>
          <w:kern w:val="0"/>
          <w:sz w:val="18"/>
          <w:szCs w:val="18"/>
          <w:lang w:eastAsia="en-GB"/>
          <w14:ligatures w14:val="none"/>
        </w:rPr>
        <w:t>If you would like to discuss how the new CGT rules may affect your long-term plans, please get in touch. We can provide further information on the changes and discuss the potential implications for your existing arrangements.</w:t>
      </w:r>
    </w:p>
    <w:p w14:paraId="4059F2D7" w14:textId="637C67B9" w:rsidR="00CC3314" w:rsidRPr="006C3007" w:rsidRDefault="006C3007" w:rsidP="006C3007">
      <w:pPr>
        <w:spacing w:before="100" w:beforeAutospacing="1" w:after="100" w:afterAutospacing="1" w:line="240" w:lineRule="auto"/>
        <w:jc w:val="center"/>
        <w:rPr>
          <w:rFonts w:ascii="Arial" w:eastAsia="Times New Roman" w:hAnsi="Arial" w:cs="Arial"/>
          <w:b/>
          <w:bCs/>
          <w:kern w:val="0"/>
          <w:sz w:val="18"/>
          <w:szCs w:val="18"/>
          <w:lang w:eastAsia="en-GB"/>
          <w14:ligatures w14:val="none"/>
        </w:rPr>
      </w:pPr>
      <w:r w:rsidRPr="006C3007">
        <w:rPr>
          <w:rFonts w:ascii="Arial" w:eastAsia="Times New Roman" w:hAnsi="Arial" w:cs="Arial"/>
          <w:b/>
          <w:bCs/>
          <w:kern w:val="0"/>
          <w:sz w:val="18"/>
          <w:szCs w:val="18"/>
          <w:lang w:eastAsia="en-GB"/>
          <w14:ligatures w14:val="none"/>
        </w:rPr>
        <w:t>END</w:t>
      </w:r>
    </w:p>
    <w:p w14:paraId="5FE599F4" w14:textId="6AEE6DFC" w:rsidR="00983EEA" w:rsidRDefault="00983EEA" w:rsidP="00E75FC0">
      <w:pPr>
        <w:rPr>
          <w:rFonts w:ascii="Arial" w:hAnsi="Arial" w:cs="Arial"/>
          <w:b/>
          <w:bCs/>
          <w:sz w:val="14"/>
          <w:szCs w:val="14"/>
        </w:rPr>
      </w:pPr>
      <w:r w:rsidRPr="00983EEA">
        <w:rPr>
          <w:rFonts w:ascii="Arial" w:hAnsi="Arial" w:cs="Arial"/>
          <w:b/>
          <w:bCs/>
          <w:sz w:val="14"/>
          <w:szCs w:val="14"/>
        </w:rPr>
        <w:t>&lt;Financial Adviser to insert own disclaimer&gt;</w:t>
      </w:r>
    </w:p>
    <w:p w14:paraId="5D72539E" w14:textId="3F0AAF69" w:rsidR="00983EEA" w:rsidRPr="00983EEA" w:rsidRDefault="009477D4" w:rsidP="00E75FC0">
      <w:pPr>
        <w:rPr>
          <w:rFonts w:ascii="Arial" w:hAnsi="Arial" w:cs="Arial"/>
          <w:sz w:val="14"/>
          <w:szCs w:val="14"/>
        </w:rPr>
      </w:pPr>
      <w:r w:rsidRPr="006C3007">
        <w:rPr>
          <w:rFonts w:ascii="Arial" w:hAnsi="Arial" w:cs="Arial"/>
          <w:b/>
          <w:bCs/>
          <w:sz w:val="14"/>
          <w:szCs w:val="14"/>
        </w:rPr>
        <w:t>Disclaimer:</w:t>
      </w:r>
      <w:r w:rsidRPr="006C3007">
        <w:rPr>
          <w:rFonts w:ascii="Arial" w:hAnsi="Arial" w:cs="Arial"/>
          <w:sz w:val="14"/>
          <w:szCs w:val="14"/>
        </w:rPr>
        <w:t xml:space="preserve"> </w:t>
      </w:r>
      <w:r w:rsidR="00983EEA" w:rsidRPr="00983EEA">
        <w:rPr>
          <w:rFonts w:ascii="Arial" w:hAnsi="Arial" w:cs="Arial"/>
          <w:sz w:val="14"/>
          <w:szCs w:val="14"/>
          <w:lang w:val="en-US"/>
        </w:rPr>
        <w:t xml:space="preserve">Generation Life Limited AFSL 225408 is the product issuer. Generation Life provides general financial product advice and other services related to investment life insurance products and life risk insurance products. Superannuation general financial product advice is provided by Generation Development Services Pty Ltd as CAR, No. 001317211 of </w:t>
      </w:r>
      <w:proofErr w:type="spellStart"/>
      <w:r w:rsidR="00983EEA" w:rsidRPr="00983EEA">
        <w:rPr>
          <w:rFonts w:ascii="Arial" w:hAnsi="Arial" w:cs="Arial"/>
          <w:sz w:val="14"/>
          <w:szCs w:val="14"/>
          <w:lang w:val="en-US"/>
        </w:rPr>
        <w:t>Evidentia</w:t>
      </w:r>
      <w:proofErr w:type="spellEnd"/>
      <w:r w:rsidR="00983EEA" w:rsidRPr="00983EEA">
        <w:rPr>
          <w:rFonts w:ascii="Arial" w:hAnsi="Arial" w:cs="Arial"/>
          <w:sz w:val="14"/>
          <w:szCs w:val="14"/>
          <w:lang w:val="en-US"/>
        </w:rPr>
        <w:t xml:space="preserve"> Financial Services Pty Ltd AFSL 546217. Information provided is general in nature and does not consider the investment objectives, financial situation or needs of any person. The PDS and TMD at genlife.com.au should be considered in deciding whether to acquire, hold or dispose of the product. Past performance is not a reliable indicator of future performance. Investments carry risks.</w:t>
      </w:r>
    </w:p>
    <w:p w14:paraId="2E6092C1" w14:textId="77777777" w:rsidR="00031A82" w:rsidRPr="006C3007" w:rsidRDefault="00031A82" w:rsidP="002309ED">
      <w:pPr>
        <w:rPr>
          <w:rFonts w:ascii="Arial" w:hAnsi="Arial" w:cs="Arial"/>
          <w:sz w:val="20"/>
          <w:szCs w:val="20"/>
        </w:rPr>
      </w:pPr>
    </w:p>
    <w:sectPr w:rsidR="00031A82" w:rsidRPr="006C3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6579E4"/>
    <w:multiLevelType w:val="hybridMultilevel"/>
    <w:tmpl w:val="FB92C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BB3C01"/>
    <w:multiLevelType w:val="multilevel"/>
    <w:tmpl w:val="5E3C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F1023"/>
    <w:multiLevelType w:val="hybridMultilevel"/>
    <w:tmpl w:val="5E42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4004575">
    <w:abstractNumId w:val="0"/>
  </w:num>
  <w:num w:numId="2" w16cid:durableId="134298327">
    <w:abstractNumId w:val="1"/>
  </w:num>
  <w:num w:numId="3" w16cid:durableId="1367633011">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9ED"/>
    <w:rsid w:val="00006904"/>
    <w:rsid w:val="00011065"/>
    <w:rsid w:val="00031A82"/>
    <w:rsid w:val="00044136"/>
    <w:rsid w:val="0006192F"/>
    <w:rsid w:val="0009387B"/>
    <w:rsid w:val="00143B3B"/>
    <w:rsid w:val="00145A42"/>
    <w:rsid w:val="00163E2A"/>
    <w:rsid w:val="00222057"/>
    <w:rsid w:val="002309ED"/>
    <w:rsid w:val="00234035"/>
    <w:rsid w:val="003037E5"/>
    <w:rsid w:val="003B4E5D"/>
    <w:rsid w:val="00434CD1"/>
    <w:rsid w:val="004703D0"/>
    <w:rsid w:val="0047291E"/>
    <w:rsid w:val="0049351E"/>
    <w:rsid w:val="004C1572"/>
    <w:rsid w:val="004D058F"/>
    <w:rsid w:val="00571F88"/>
    <w:rsid w:val="005E3DFD"/>
    <w:rsid w:val="0061082E"/>
    <w:rsid w:val="00635B72"/>
    <w:rsid w:val="006867D0"/>
    <w:rsid w:val="006B7CCB"/>
    <w:rsid w:val="006C3007"/>
    <w:rsid w:val="006E5D1E"/>
    <w:rsid w:val="007A24D4"/>
    <w:rsid w:val="00811582"/>
    <w:rsid w:val="00887E33"/>
    <w:rsid w:val="008904C9"/>
    <w:rsid w:val="008C5B99"/>
    <w:rsid w:val="008D3AB8"/>
    <w:rsid w:val="009014E2"/>
    <w:rsid w:val="00913BB9"/>
    <w:rsid w:val="009477D4"/>
    <w:rsid w:val="00983EEA"/>
    <w:rsid w:val="009D2D67"/>
    <w:rsid w:val="00A002FB"/>
    <w:rsid w:val="00A23031"/>
    <w:rsid w:val="00A3415D"/>
    <w:rsid w:val="00B257E9"/>
    <w:rsid w:val="00B66DE8"/>
    <w:rsid w:val="00B93CDB"/>
    <w:rsid w:val="00C355EB"/>
    <w:rsid w:val="00CC3314"/>
    <w:rsid w:val="00CE1AB7"/>
    <w:rsid w:val="00DC5C07"/>
    <w:rsid w:val="00E14064"/>
    <w:rsid w:val="00E35D2B"/>
    <w:rsid w:val="00E75FC0"/>
    <w:rsid w:val="00FB2FFC"/>
    <w:rsid w:val="00FE1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4890"/>
  <w15:chartTrackingRefBased/>
  <w15:docId w15:val="{15ED4CF0-8E4E-4138-8C99-8C839B78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09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9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9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9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9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9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9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9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9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09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9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9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9ED"/>
    <w:rPr>
      <w:rFonts w:eastAsiaTheme="majorEastAsia" w:cstheme="majorBidi"/>
      <w:color w:val="272727" w:themeColor="text1" w:themeTint="D8"/>
    </w:rPr>
  </w:style>
  <w:style w:type="paragraph" w:styleId="Title">
    <w:name w:val="Title"/>
    <w:basedOn w:val="Normal"/>
    <w:next w:val="Normal"/>
    <w:link w:val="TitleChar"/>
    <w:uiPriority w:val="10"/>
    <w:qFormat/>
    <w:rsid w:val="00230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9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9ED"/>
    <w:pPr>
      <w:spacing w:before="160"/>
      <w:jc w:val="center"/>
    </w:pPr>
    <w:rPr>
      <w:i/>
      <w:iCs/>
      <w:color w:val="404040" w:themeColor="text1" w:themeTint="BF"/>
    </w:rPr>
  </w:style>
  <w:style w:type="character" w:customStyle="1" w:styleId="QuoteChar">
    <w:name w:val="Quote Char"/>
    <w:basedOn w:val="DefaultParagraphFont"/>
    <w:link w:val="Quote"/>
    <w:uiPriority w:val="29"/>
    <w:rsid w:val="002309ED"/>
    <w:rPr>
      <w:i/>
      <w:iCs/>
      <w:color w:val="404040" w:themeColor="text1" w:themeTint="BF"/>
    </w:rPr>
  </w:style>
  <w:style w:type="paragraph" w:styleId="ListParagraph">
    <w:name w:val="List Paragraph"/>
    <w:basedOn w:val="Normal"/>
    <w:uiPriority w:val="34"/>
    <w:qFormat/>
    <w:rsid w:val="002309ED"/>
    <w:pPr>
      <w:ind w:left="720"/>
      <w:contextualSpacing/>
    </w:pPr>
  </w:style>
  <w:style w:type="character" w:styleId="IntenseEmphasis">
    <w:name w:val="Intense Emphasis"/>
    <w:basedOn w:val="DefaultParagraphFont"/>
    <w:uiPriority w:val="21"/>
    <w:qFormat/>
    <w:rsid w:val="002309ED"/>
    <w:rPr>
      <w:i/>
      <w:iCs/>
      <w:color w:val="0F4761" w:themeColor="accent1" w:themeShade="BF"/>
    </w:rPr>
  </w:style>
  <w:style w:type="paragraph" w:styleId="IntenseQuote">
    <w:name w:val="Intense Quote"/>
    <w:basedOn w:val="Normal"/>
    <w:next w:val="Normal"/>
    <w:link w:val="IntenseQuoteChar"/>
    <w:uiPriority w:val="30"/>
    <w:qFormat/>
    <w:rsid w:val="00230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9ED"/>
    <w:rPr>
      <w:i/>
      <w:iCs/>
      <w:color w:val="0F4761" w:themeColor="accent1" w:themeShade="BF"/>
    </w:rPr>
  </w:style>
  <w:style w:type="character" w:styleId="IntenseReference">
    <w:name w:val="Intense Reference"/>
    <w:basedOn w:val="DefaultParagraphFont"/>
    <w:uiPriority w:val="32"/>
    <w:qFormat/>
    <w:rsid w:val="002309ED"/>
    <w:rPr>
      <w:b/>
      <w:bCs/>
      <w:smallCaps/>
      <w:color w:val="0F4761" w:themeColor="accent1" w:themeShade="BF"/>
      <w:spacing w:val="5"/>
    </w:rPr>
  </w:style>
  <w:style w:type="paragraph" w:customStyle="1" w:styleId="pdq2pgselectionanchorcontainer">
    <w:name w:val="pdq2pg_selectionanchorcontainer"/>
    <w:basedOn w:val="Normal"/>
    <w:rsid w:val="007A24D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7A24D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7A24D4"/>
    <w:rPr>
      <w:i/>
      <w:iCs/>
    </w:rPr>
  </w:style>
  <w:style w:type="paragraph" w:styleId="Revision">
    <w:name w:val="Revision"/>
    <w:hidden/>
    <w:uiPriority w:val="99"/>
    <w:semiHidden/>
    <w:rsid w:val="006867D0"/>
    <w:pPr>
      <w:spacing w:after="0" w:line="240" w:lineRule="auto"/>
    </w:pPr>
  </w:style>
  <w:style w:type="character" w:styleId="Hyperlink">
    <w:name w:val="Hyperlink"/>
    <w:basedOn w:val="DefaultParagraphFont"/>
    <w:uiPriority w:val="99"/>
    <w:unhideWhenUsed/>
    <w:rsid w:val="00031A82"/>
    <w:rPr>
      <w:color w:val="467886" w:themeColor="hyperlink"/>
      <w:u w:val="single"/>
    </w:rPr>
  </w:style>
  <w:style w:type="character" w:styleId="UnresolvedMention">
    <w:name w:val="Unresolved Mention"/>
    <w:basedOn w:val="DefaultParagraphFont"/>
    <w:uiPriority w:val="99"/>
    <w:semiHidden/>
    <w:unhideWhenUsed/>
    <w:rsid w:val="00031A82"/>
    <w:rPr>
      <w:color w:val="605E5C"/>
      <w:shd w:val="clear" w:color="auto" w:fill="E1DFDD"/>
    </w:rPr>
  </w:style>
  <w:style w:type="character" w:styleId="CommentReference">
    <w:name w:val="annotation reference"/>
    <w:basedOn w:val="DefaultParagraphFont"/>
    <w:uiPriority w:val="99"/>
    <w:semiHidden/>
    <w:unhideWhenUsed/>
    <w:rsid w:val="00811582"/>
    <w:rPr>
      <w:sz w:val="16"/>
      <w:szCs w:val="16"/>
    </w:rPr>
  </w:style>
  <w:style w:type="paragraph" w:styleId="CommentText">
    <w:name w:val="annotation text"/>
    <w:basedOn w:val="Normal"/>
    <w:link w:val="CommentTextChar"/>
    <w:uiPriority w:val="99"/>
    <w:unhideWhenUsed/>
    <w:rsid w:val="00811582"/>
    <w:pPr>
      <w:spacing w:line="240" w:lineRule="auto"/>
    </w:pPr>
    <w:rPr>
      <w:sz w:val="20"/>
      <w:szCs w:val="20"/>
    </w:rPr>
  </w:style>
  <w:style w:type="character" w:customStyle="1" w:styleId="CommentTextChar">
    <w:name w:val="Comment Text Char"/>
    <w:basedOn w:val="DefaultParagraphFont"/>
    <w:link w:val="CommentText"/>
    <w:uiPriority w:val="99"/>
    <w:rsid w:val="00811582"/>
    <w:rPr>
      <w:sz w:val="20"/>
      <w:szCs w:val="20"/>
    </w:rPr>
  </w:style>
  <w:style w:type="paragraph" w:styleId="CommentSubject">
    <w:name w:val="annotation subject"/>
    <w:basedOn w:val="CommentText"/>
    <w:next w:val="CommentText"/>
    <w:link w:val="CommentSubjectChar"/>
    <w:uiPriority w:val="99"/>
    <w:semiHidden/>
    <w:unhideWhenUsed/>
    <w:rsid w:val="00811582"/>
    <w:rPr>
      <w:b/>
      <w:bCs/>
    </w:rPr>
  </w:style>
  <w:style w:type="character" w:customStyle="1" w:styleId="CommentSubjectChar">
    <w:name w:val="Comment Subject Char"/>
    <w:basedOn w:val="CommentTextChar"/>
    <w:link w:val="CommentSubject"/>
    <w:uiPriority w:val="99"/>
    <w:semiHidden/>
    <w:rsid w:val="008115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5C4F745D42B147AABF0A6718317B08" ma:contentTypeVersion="16" ma:contentTypeDescription="Create a new document." ma:contentTypeScope="" ma:versionID="b1fb2e4a88486fbbc0b88d6855796a60">
  <xsd:schema xmlns:xsd="http://www.w3.org/2001/XMLSchema" xmlns:xs="http://www.w3.org/2001/XMLSchema" xmlns:p="http://schemas.microsoft.com/office/2006/metadata/properties" xmlns:ns2="c9db4af1-2574-4dcb-8036-f727c0977fa8" xmlns:ns3="e96ca70c-b442-4d4d-a455-f8164fd715ed" targetNamespace="http://schemas.microsoft.com/office/2006/metadata/properties" ma:root="true" ma:fieldsID="77f5623d7ee3ba97b3ff381f0b0ca631" ns2:_="" ns3:_="">
    <xsd:import namespace="c9db4af1-2574-4dcb-8036-f727c0977fa8"/>
    <xsd:import namespace="e96ca70c-b442-4d4d-a455-f8164fd715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b4af1-2574-4dcb-8036-f727c0977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908cb3-bfa2-4328-b362-d8c43138db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6ca70c-b442-4d4d-a455-f8164fd715e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822ee46-647b-4b10-9a5f-427c6d44923e}" ma:internalName="TaxCatchAll" ma:showField="CatchAllData" ma:web="e96ca70c-b442-4d4d-a455-f8164fd715e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db4af1-2574-4dcb-8036-f727c0977fa8">
      <Terms xmlns="http://schemas.microsoft.com/office/infopath/2007/PartnerControls"/>
    </lcf76f155ced4ddcb4097134ff3c332f>
    <TaxCatchAll xmlns="e96ca70c-b442-4d4d-a455-f8164fd715ed" xsi:nil="true"/>
  </documentManagement>
</p:properties>
</file>

<file path=customXml/itemProps1.xml><?xml version="1.0" encoding="utf-8"?>
<ds:datastoreItem xmlns:ds="http://schemas.openxmlformats.org/officeDocument/2006/customXml" ds:itemID="{669FE21C-2E2F-4A70-8731-D5BBB41B5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b4af1-2574-4dcb-8036-f727c0977fa8"/>
    <ds:schemaRef ds:uri="e96ca70c-b442-4d4d-a455-f8164fd71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5EB218-9116-4E63-9168-0914AC1CAE18}">
  <ds:schemaRefs>
    <ds:schemaRef ds:uri="http://schemas.microsoft.com/sharepoint/v3/contenttype/forms"/>
  </ds:schemaRefs>
</ds:datastoreItem>
</file>

<file path=customXml/itemProps3.xml><?xml version="1.0" encoding="utf-8"?>
<ds:datastoreItem xmlns:ds="http://schemas.openxmlformats.org/officeDocument/2006/customXml" ds:itemID="{DC44BEE4-917F-43D7-9FF0-45D4E14413E8}">
  <ds:schemaRefs>
    <ds:schemaRef ds:uri="http://schemas.microsoft.com/office/2006/metadata/properties"/>
    <ds:schemaRef ds:uri="http://schemas.microsoft.com/office/infopath/2007/PartnerControls"/>
    <ds:schemaRef ds:uri="c9db4af1-2574-4dcb-8036-f727c0977fa8"/>
    <ds:schemaRef ds:uri="e96ca70c-b442-4d4d-a455-f8164fd715ed"/>
  </ds:schemaRefs>
</ds:datastoreItem>
</file>

<file path=docMetadata/LabelInfo.xml><?xml version="1.0" encoding="utf-8"?>
<clbl:labelList xmlns:clbl="http://schemas.microsoft.com/office/2020/mipLabelMetadata">
  <clbl:label id="{83397a74-6440-4a05-a10b-9a5b2f99e153}" enabled="1" method="Standard" siteId="{3f8de446-0ae2-4157-a3ba-871e6f29bc4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844</Words>
  <Characters>4541</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Karlee Currall</dc:creator>
  <cp:keywords/>
  <dc:description/>
  <cp:lastModifiedBy>Amy Kilgannon</cp:lastModifiedBy>
  <cp:revision>2</cp:revision>
  <dcterms:created xsi:type="dcterms:W3CDTF">2026-07-23T01:00:00Z</dcterms:created>
  <dcterms:modified xsi:type="dcterms:W3CDTF">2026-07-23T01:00:00Z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0x010100615C4F745D42B147AABF0A6718317B08</vt:lpwstr>
  </property>
  <property fmtid="{D5CDD505-2E9C-101B-9397-08002B2CF9AE}" pid="3" name="MediaServiceImageTags">
    <vt:lpwstr/>
  </property>
</Properties>
</file>