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6F1811" w14:textId="5B3F5788" w:rsidR="004651F6" w:rsidRPr="003E3C0C" w:rsidRDefault="004651F6" w:rsidP="004651F6">
      <w:pPr>
        <w:rPr>
          <w:rFonts w:ascii="Arial" w:hAnsi="Arial" w:cs="Arial"/>
          <w:b/>
          <w:bCs/>
          <w:color w:val="002060"/>
          <w:sz w:val="32"/>
          <w:szCs w:val="32"/>
        </w:rPr>
      </w:pPr>
      <w:r w:rsidRPr="003E3C0C">
        <w:rPr>
          <w:rFonts w:ascii="Arial" w:hAnsi="Arial" w:cs="Arial"/>
          <w:b/>
          <w:bCs/>
          <w:color w:val="002060"/>
          <w:sz w:val="32"/>
          <w:szCs w:val="32"/>
        </w:rPr>
        <w:t xml:space="preserve">Beyond property: what the </w:t>
      </w:r>
      <w:r w:rsidR="00F7632F" w:rsidRPr="003E3C0C">
        <w:rPr>
          <w:rFonts w:ascii="Arial" w:hAnsi="Arial" w:cs="Arial"/>
          <w:b/>
          <w:bCs/>
          <w:color w:val="002060"/>
          <w:sz w:val="32"/>
          <w:szCs w:val="32"/>
        </w:rPr>
        <w:t>new</w:t>
      </w:r>
      <w:r w:rsidRPr="003E3C0C">
        <w:rPr>
          <w:rFonts w:ascii="Arial" w:hAnsi="Arial" w:cs="Arial"/>
          <w:b/>
          <w:bCs/>
          <w:color w:val="002060"/>
          <w:sz w:val="32"/>
          <w:szCs w:val="32"/>
        </w:rPr>
        <w:t xml:space="preserve"> negative gearing changes </w:t>
      </w:r>
      <w:r w:rsidR="0078406B">
        <w:rPr>
          <w:rFonts w:ascii="Arial" w:hAnsi="Arial" w:cs="Arial"/>
          <w:b/>
          <w:bCs/>
          <w:color w:val="002060"/>
          <w:sz w:val="32"/>
          <w:szCs w:val="32"/>
        </w:rPr>
        <w:t xml:space="preserve">may </w:t>
      </w:r>
      <w:r w:rsidRPr="003E3C0C">
        <w:rPr>
          <w:rFonts w:ascii="Arial" w:hAnsi="Arial" w:cs="Arial"/>
          <w:b/>
          <w:bCs/>
          <w:color w:val="002060"/>
          <w:sz w:val="32"/>
          <w:szCs w:val="32"/>
        </w:rPr>
        <w:t>mean for investors</w:t>
      </w:r>
    </w:p>
    <w:p w14:paraId="15A7E58C" w14:textId="77777777" w:rsidR="000A223D" w:rsidRPr="000A223D" w:rsidRDefault="000A223D" w:rsidP="000A223D">
      <w:pPr>
        <w:rPr>
          <w:rFonts w:ascii="Arial" w:hAnsi="Arial" w:cs="Arial"/>
          <w:sz w:val="18"/>
          <w:szCs w:val="18"/>
        </w:rPr>
      </w:pPr>
      <w:r w:rsidRPr="000A223D">
        <w:rPr>
          <w:rFonts w:ascii="Arial" w:hAnsi="Arial" w:cs="Arial"/>
          <w:sz w:val="18"/>
          <w:szCs w:val="18"/>
        </w:rPr>
        <w:t>For decades, residential property has been one of Australia’s most popular investment choices. A key reason has been the ability to negatively gear investment properties, allowing investors to offset losses against their taxable income.</w:t>
      </w:r>
    </w:p>
    <w:p w14:paraId="651DDEF5" w14:textId="77777777" w:rsidR="000A223D" w:rsidRPr="000A223D" w:rsidRDefault="000A223D" w:rsidP="000A223D">
      <w:pPr>
        <w:rPr>
          <w:rFonts w:ascii="Arial" w:hAnsi="Arial" w:cs="Arial"/>
          <w:sz w:val="18"/>
          <w:szCs w:val="18"/>
        </w:rPr>
      </w:pPr>
      <w:r w:rsidRPr="000A223D">
        <w:rPr>
          <w:rFonts w:ascii="Arial" w:hAnsi="Arial" w:cs="Arial"/>
          <w:sz w:val="18"/>
          <w:szCs w:val="18"/>
        </w:rPr>
        <w:t>New tax laws change the treatment of negative gearing for certain residential investment properties. These changes are expected to significantly alter how attractive this strategy is for some investors.</w:t>
      </w:r>
    </w:p>
    <w:p w14:paraId="45FF5890" w14:textId="77777777" w:rsidR="000A223D" w:rsidRPr="000A223D" w:rsidRDefault="000A223D" w:rsidP="000A223D">
      <w:pPr>
        <w:rPr>
          <w:rFonts w:ascii="Arial" w:hAnsi="Arial" w:cs="Arial"/>
          <w:sz w:val="18"/>
          <w:szCs w:val="18"/>
        </w:rPr>
      </w:pPr>
      <w:r w:rsidRPr="000A223D">
        <w:rPr>
          <w:rFonts w:ascii="Arial" w:hAnsi="Arial" w:cs="Arial"/>
          <w:sz w:val="18"/>
          <w:szCs w:val="18"/>
        </w:rPr>
        <w:t>The changes have prompted many Australians to re-think one of the country’s most established wealth building strategies after asking an important question “Is property still able to help me achieve my long-term financial goals?”</w:t>
      </w:r>
    </w:p>
    <w:p w14:paraId="6FF553F1"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t>What has changed?</w:t>
      </w:r>
    </w:p>
    <w:p w14:paraId="31A23744" w14:textId="77777777" w:rsidR="000A223D" w:rsidRPr="000A223D" w:rsidRDefault="000A223D" w:rsidP="000A223D">
      <w:pPr>
        <w:rPr>
          <w:rFonts w:ascii="Arial" w:hAnsi="Arial" w:cs="Arial"/>
          <w:sz w:val="18"/>
          <w:szCs w:val="18"/>
        </w:rPr>
      </w:pPr>
      <w:r w:rsidRPr="000A223D">
        <w:rPr>
          <w:rFonts w:ascii="Arial" w:hAnsi="Arial" w:cs="Arial"/>
          <w:sz w:val="18"/>
          <w:szCs w:val="18"/>
        </w:rPr>
        <w:t>The Government has legislated to limit negative gearing benefits for certain residential investment properties.</w:t>
      </w:r>
    </w:p>
    <w:p w14:paraId="372F0924" w14:textId="77777777" w:rsidR="000A223D" w:rsidRPr="000A223D" w:rsidRDefault="000A223D" w:rsidP="000A223D">
      <w:pPr>
        <w:rPr>
          <w:rFonts w:ascii="Arial" w:hAnsi="Arial" w:cs="Arial"/>
          <w:sz w:val="18"/>
          <w:szCs w:val="18"/>
        </w:rPr>
      </w:pPr>
      <w:r w:rsidRPr="000A223D">
        <w:rPr>
          <w:rFonts w:ascii="Arial" w:hAnsi="Arial" w:cs="Arial"/>
          <w:sz w:val="18"/>
          <w:szCs w:val="18"/>
        </w:rPr>
        <w:t>Under the legislation, from 1 July 2027, newly acquired established residential investment properties will no longer be able to use net rental losses to reduce other income. Instead, those losses will generally only be available to offset future rental income or capital gains from residential property investments and other forms of income, such as salary and wages.</w:t>
      </w:r>
    </w:p>
    <w:p w14:paraId="227E70F6" w14:textId="77777777" w:rsidR="000A223D" w:rsidRPr="000A223D" w:rsidRDefault="000A223D" w:rsidP="000A223D">
      <w:pPr>
        <w:rPr>
          <w:rFonts w:ascii="Arial" w:hAnsi="Arial" w:cs="Arial"/>
          <w:sz w:val="18"/>
          <w:szCs w:val="18"/>
        </w:rPr>
      </w:pPr>
      <w:r w:rsidRPr="000A223D">
        <w:rPr>
          <w:rFonts w:ascii="Arial" w:hAnsi="Arial" w:cs="Arial"/>
          <w:sz w:val="18"/>
          <w:szCs w:val="18"/>
        </w:rPr>
        <w:t>The changes will not apply uniformly across all investors, but they are designed to reduce one of the key tax advantages that has traditionally supported residential property investments.</w:t>
      </w:r>
    </w:p>
    <w:p w14:paraId="67C060C3"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t>Why does this matter?</w:t>
      </w:r>
    </w:p>
    <w:p w14:paraId="5A4CF90C" w14:textId="77777777" w:rsidR="000A223D" w:rsidRPr="000A223D" w:rsidRDefault="000A223D" w:rsidP="000A223D">
      <w:pPr>
        <w:rPr>
          <w:rFonts w:ascii="Arial" w:hAnsi="Arial" w:cs="Arial"/>
          <w:sz w:val="18"/>
          <w:szCs w:val="18"/>
        </w:rPr>
      </w:pPr>
      <w:r w:rsidRPr="000A223D">
        <w:rPr>
          <w:rFonts w:ascii="Arial" w:hAnsi="Arial" w:cs="Arial"/>
          <w:sz w:val="18"/>
          <w:szCs w:val="18"/>
        </w:rPr>
        <w:t>For many Australians, investing in property has represented far more than just an investment.  It has been a pathway to building long-term wealth, creating financial security and providing more opportunities for the next generation.</w:t>
      </w:r>
    </w:p>
    <w:p w14:paraId="55FB23E4" w14:textId="77777777" w:rsidR="000A223D" w:rsidRPr="000A223D" w:rsidRDefault="000A223D" w:rsidP="000A223D">
      <w:pPr>
        <w:rPr>
          <w:rFonts w:ascii="Arial" w:hAnsi="Arial" w:cs="Arial"/>
          <w:sz w:val="18"/>
          <w:szCs w:val="18"/>
        </w:rPr>
      </w:pPr>
      <w:r w:rsidRPr="000A223D">
        <w:rPr>
          <w:rFonts w:ascii="Arial" w:hAnsi="Arial" w:cs="Arial"/>
          <w:sz w:val="18"/>
          <w:szCs w:val="18"/>
        </w:rPr>
        <w:t>Going forward, investors purchasing residential properties may find tax outcomes less favourable than under the current rules. For some, that may mean reassessing whether a strategy that has worked well in the past is still the right fit for the future.</w:t>
      </w:r>
    </w:p>
    <w:p w14:paraId="1E9CB633" w14:textId="77777777" w:rsidR="000A223D" w:rsidRPr="000A223D" w:rsidRDefault="000A223D" w:rsidP="000A223D">
      <w:pPr>
        <w:rPr>
          <w:rFonts w:ascii="Arial" w:hAnsi="Arial" w:cs="Arial"/>
          <w:sz w:val="18"/>
          <w:szCs w:val="18"/>
        </w:rPr>
      </w:pPr>
      <w:r w:rsidRPr="000A223D">
        <w:rPr>
          <w:rFonts w:ascii="Arial" w:hAnsi="Arial" w:cs="Arial"/>
          <w:sz w:val="18"/>
          <w:szCs w:val="18"/>
        </w:rPr>
        <w:t>This does not mean property will cease to play an important role in wealth creation. Rather, it reinforces that successful long-term investing is rarely about relying on a single strategy. It also highlights the importance of regularly reviewing whether your investment strategy continues to reflect your goals, your family's future and your changing financial circumstances.</w:t>
      </w:r>
    </w:p>
    <w:p w14:paraId="7D068A3B" w14:textId="77777777" w:rsidR="000A223D" w:rsidRPr="000A223D" w:rsidRDefault="000A223D" w:rsidP="000A223D">
      <w:pPr>
        <w:rPr>
          <w:rFonts w:ascii="Arial" w:hAnsi="Arial" w:cs="Arial"/>
          <w:sz w:val="18"/>
          <w:szCs w:val="18"/>
        </w:rPr>
      </w:pPr>
      <w:r w:rsidRPr="000A223D">
        <w:rPr>
          <w:rFonts w:ascii="Arial" w:hAnsi="Arial" w:cs="Arial"/>
          <w:sz w:val="18"/>
          <w:szCs w:val="18"/>
        </w:rPr>
        <w:t>As tax settings evolve, investors may increasingly look beyond traditional approaches and consider a broader range of investment structures.</w:t>
      </w:r>
    </w:p>
    <w:p w14:paraId="7EF1F31D"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t>Looking beyond property</w:t>
      </w:r>
    </w:p>
    <w:p w14:paraId="23089F24" w14:textId="08B7DDF8" w:rsidR="000A223D" w:rsidRPr="000A223D" w:rsidRDefault="000A223D" w:rsidP="000A223D">
      <w:pPr>
        <w:rPr>
          <w:rFonts w:ascii="Arial" w:hAnsi="Arial" w:cs="Arial"/>
          <w:sz w:val="18"/>
          <w:szCs w:val="18"/>
        </w:rPr>
      </w:pPr>
      <w:r w:rsidRPr="000A223D">
        <w:rPr>
          <w:rFonts w:ascii="Arial" w:hAnsi="Arial" w:cs="Arial"/>
          <w:sz w:val="18"/>
          <w:szCs w:val="18"/>
        </w:rPr>
        <w:t>For many Australians, property has long been the default choice when building wealth outside superannuation. With tax settings changed, now may be an appropriate time to explore whether other investment structures could play a role in helping you achieve your long-term goals. As tax settings evolve, broadening the way you build wealth not by just what type of asset you invest in, may become increasingly important. One option investors are exploring is investment bonds.</w:t>
      </w:r>
    </w:p>
    <w:p w14:paraId="1CCDE872" w14:textId="77777777" w:rsidR="000A223D" w:rsidRPr="000A223D" w:rsidRDefault="000A223D" w:rsidP="000A223D">
      <w:pPr>
        <w:rPr>
          <w:rFonts w:ascii="Arial" w:hAnsi="Arial" w:cs="Arial"/>
          <w:sz w:val="18"/>
          <w:szCs w:val="18"/>
        </w:rPr>
      </w:pPr>
      <w:r w:rsidRPr="000A223D">
        <w:rPr>
          <w:rFonts w:ascii="Arial" w:hAnsi="Arial" w:cs="Arial"/>
          <w:sz w:val="18"/>
          <w:szCs w:val="18"/>
        </w:rPr>
        <w:t>Investment bonds offer a tax-paid investment structure, where tax is paid within the investment bond by the bond company. Unlike many personally held investments, this commonly means there is no annual personal tax reporting on earnings.</w:t>
      </w:r>
    </w:p>
    <w:p w14:paraId="225B1204" w14:textId="77777777" w:rsidR="000A223D" w:rsidRPr="000A223D" w:rsidRDefault="000A223D" w:rsidP="000A223D">
      <w:pPr>
        <w:rPr>
          <w:rFonts w:ascii="Arial" w:hAnsi="Arial" w:cs="Arial"/>
          <w:sz w:val="18"/>
          <w:szCs w:val="18"/>
        </w:rPr>
      </w:pPr>
      <w:r w:rsidRPr="000A223D">
        <w:rPr>
          <w:rFonts w:ascii="Arial" w:hAnsi="Arial" w:cs="Arial"/>
          <w:sz w:val="18"/>
          <w:szCs w:val="18"/>
        </w:rPr>
        <w:t>If an investment bond is held for at least 10 years and the 10-year period is reset, withdrawals are generally tax-paid, meaning no additional personal tax is payable on benefits received.</w:t>
      </w:r>
    </w:p>
    <w:p w14:paraId="1ACEEA90" w14:textId="77777777" w:rsidR="000A223D" w:rsidRPr="000A223D" w:rsidRDefault="000A223D" w:rsidP="000A223D">
      <w:pPr>
        <w:rPr>
          <w:rFonts w:ascii="Arial" w:hAnsi="Arial" w:cs="Arial"/>
          <w:sz w:val="18"/>
          <w:szCs w:val="18"/>
        </w:rPr>
      </w:pPr>
      <w:r w:rsidRPr="000A223D">
        <w:rPr>
          <w:rFonts w:ascii="Arial" w:hAnsi="Arial" w:cs="Arial"/>
          <w:sz w:val="18"/>
          <w:szCs w:val="18"/>
        </w:rPr>
        <w:t>Investment bonds can also provide flexibility for long-term wealth accumulation, estate planning and intergenerational wealth transfers, while allowing investors to build wealth outside superannuation without the limitations of contribution caps.</w:t>
      </w:r>
    </w:p>
    <w:p w14:paraId="0F095841"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lastRenderedPageBreak/>
        <w:t>The importance of flexibility</w:t>
      </w:r>
    </w:p>
    <w:p w14:paraId="748B6318" w14:textId="77777777" w:rsidR="000A223D" w:rsidRPr="000A223D" w:rsidRDefault="000A223D" w:rsidP="000A223D">
      <w:pPr>
        <w:rPr>
          <w:rFonts w:ascii="Arial" w:hAnsi="Arial" w:cs="Arial"/>
          <w:sz w:val="18"/>
          <w:szCs w:val="18"/>
        </w:rPr>
      </w:pPr>
      <w:r w:rsidRPr="000A223D">
        <w:rPr>
          <w:rFonts w:ascii="Arial" w:hAnsi="Arial" w:cs="Arial"/>
          <w:sz w:val="18"/>
          <w:szCs w:val="18"/>
        </w:rPr>
        <w:t>The new negative gearing rules are another reminder that tax legislation can change, even for strategies that Australians have relied upon for decades. While property is likely to remain an important part of many Australians’ financial plans, there may be value in considering whether your wealth is sufficiently diversified across different investment structures to provide greater flexibility for whatever the future may bring.</w:t>
      </w:r>
    </w:p>
    <w:p w14:paraId="22657360" w14:textId="472C474B" w:rsidR="000A223D" w:rsidRPr="000A223D" w:rsidRDefault="000A223D" w:rsidP="000A223D">
      <w:pPr>
        <w:rPr>
          <w:rFonts w:ascii="Arial" w:hAnsi="Arial" w:cs="Arial"/>
          <w:sz w:val="18"/>
          <w:szCs w:val="18"/>
        </w:rPr>
      </w:pPr>
      <w:r w:rsidRPr="000A223D">
        <w:rPr>
          <w:rFonts w:ascii="Arial" w:hAnsi="Arial" w:cs="Arial"/>
          <w:sz w:val="18"/>
          <w:szCs w:val="18"/>
        </w:rPr>
        <w:t>Reviewing how wealth is structured, not just what it is invested in, can help create greater flexibility, improve resilience to future legislative change and provide greater confidence that your financial strategy can continue to support the future you are working towards.</w:t>
      </w:r>
    </w:p>
    <w:p w14:paraId="2907F3AE" w14:textId="77777777" w:rsidR="000A223D" w:rsidRPr="000A223D" w:rsidRDefault="000A223D" w:rsidP="000A223D">
      <w:pPr>
        <w:rPr>
          <w:rFonts w:ascii="Arial" w:hAnsi="Arial" w:cs="Arial"/>
          <w:sz w:val="18"/>
          <w:szCs w:val="18"/>
        </w:rPr>
      </w:pPr>
      <w:r w:rsidRPr="000A223D">
        <w:rPr>
          <w:rFonts w:ascii="Arial" w:hAnsi="Arial" w:cs="Arial"/>
          <w:sz w:val="18"/>
          <w:szCs w:val="18"/>
        </w:rPr>
        <w:t xml:space="preserve">Tax rules will continue to evolve, but that may not necessarily mean that your long-term financial goals will have to change. </w:t>
      </w:r>
    </w:p>
    <w:p w14:paraId="311C30D4"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t>Here to help</w:t>
      </w:r>
    </w:p>
    <w:p w14:paraId="218A0DF5" w14:textId="77777777" w:rsidR="000A223D" w:rsidRPr="000A223D" w:rsidRDefault="000A223D" w:rsidP="000A223D">
      <w:pPr>
        <w:rPr>
          <w:rFonts w:ascii="Arial" w:hAnsi="Arial" w:cs="Arial"/>
          <w:b/>
          <w:bCs/>
          <w:sz w:val="18"/>
          <w:szCs w:val="18"/>
        </w:rPr>
      </w:pPr>
      <w:r w:rsidRPr="000A223D">
        <w:rPr>
          <w:rFonts w:ascii="Arial" w:hAnsi="Arial" w:cs="Arial"/>
          <w:b/>
          <w:bCs/>
          <w:sz w:val="18"/>
          <w:szCs w:val="18"/>
        </w:rPr>
        <w:t>&lt;Financial Adviser to insert own CTA. Sample wording below&gt;</w:t>
      </w:r>
    </w:p>
    <w:p w14:paraId="48463AC8" w14:textId="77777777" w:rsidR="000A223D" w:rsidRPr="000A223D" w:rsidRDefault="000A223D" w:rsidP="000A223D">
      <w:pPr>
        <w:rPr>
          <w:rFonts w:ascii="Arial" w:hAnsi="Arial" w:cs="Arial"/>
          <w:sz w:val="18"/>
          <w:szCs w:val="18"/>
        </w:rPr>
      </w:pPr>
      <w:r w:rsidRPr="000A223D">
        <w:rPr>
          <w:rFonts w:ascii="Arial" w:hAnsi="Arial" w:cs="Arial"/>
          <w:sz w:val="18"/>
          <w:szCs w:val="18"/>
        </w:rPr>
        <w:t>If these negative gearing reforms have prompted questions about your investment strategy, I'd welcome the opportunity to review your current approach with you so pleased don’t hesitate to get in touch. Together, we can assess whether your investments remain appropriately structured to support your long-term goals and discuss whether alternative investment structures may have a role to play.</w:t>
      </w:r>
    </w:p>
    <w:p w14:paraId="6B7C5052" w14:textId="0B348CE1" w:rsidR="000A223D" w:rsidRPr="000A223D" w:rsidRDefault="000A223D" w:rsidP="000A223D">
      <w:pPr>
        <w:jc w:val="center"/>
        <w:rPr>
          <w:rFonts w:ascii="Arial" w:hAnsi="Arial" w:cs="Arial"/>
          <w:b/>
          <w:bCs/>
          <w:sz w:val="18"/>
          <w:szCs w:val="18"/>
        </w:rPr>
      </w:pPr>
      <w:r w:rsidRPr="003E3C0C">
        <w:rPr>
          <w:rFonts w:ascii="Arial" w:hAnsi="Arial" w:cs="Arial"/>
          <w:b/>
          <w:bCs/>
          <w:sz w:val="18"/>
          <w:szCs w:val="18"/>
        </w:rPr>
        <w:t>END</w:t>
      </w:r>
    </w:p>
    <w:p w14:paraId="4949EF23" w14:textId="77777777" w:rsidR="000A223D" w:rsidRPr="000A223D" w:rsidRDefault="000A223D" w:rsidP="000A223D">
      <w:pPr>
        <w:rPr>
          <w:rFonts w:ascii="Arial" w:hAnsi="Arial" w:cs="Arial"/>
          <w:b/>
          <w:bCs/>
          <w:sz w:val="14"/>
          <w:szCs w:val="14"/>
        </w:rPr>
      </w:pPr>
      <w:r w:rsidRPr="000A223D">
        <w:rPr>
          <w:rFonts w:ascii="Arial" w:hAnsi="Arial" w:cs="Arial"/>
          <w:b/>
          <w:bCs/>
          <w:sz w:val="14"/>
          <w:szCs w:val="14"/>
        </w:rPr>
        <w:t>&lt;Financial Adviser to insert own disclaimer&gt;</w:t>
      </w:r>
    </w:p>
    <w:p w14:paraId="398E14DE" w14:textId="3467DB72" w:rsidR="000A223D" w:rsidRPr="000A223D" w:rsidRDefault="000A223D" w:rsidP="000A223D">
      <w:pPr>
        <w:rPr>
          <w:rFonts w:ascii="Arial" w:hAnsi="Arial" w:cs="Arial"/>
          <w:sz w:val="14"/>
          <w:szCs w:val="14"/>
        </w:rPr>
      </w:pPr>
      <w:r w:rsidRPr="000A223D">
        <w:rPr>
          <w:rFonts w:ascii="Arial" w:hAnsi="Arial" w:cs="Arial"/>
          <w:b/>
          <w:bCs/>
          <w:sz w:val="14"/>
          <w:szCs w:val="14"/>
        </w:rPr>
        <w:t>Disclaimer:</w:t>
      </w:r>
      <w:r w:rsidRPr="000A223D">
        <w:rPr>
          <w:rFonts w:ascii="Arial" w:hAnsi="Arial" w:cs="Arial"/>
          <w:sz w:val="14"/>
          <w:szCs w:val="14"/>
        </w:rPr>
        <w:t xml:space="preserve"> Generation Life Limited AFSL 225408 is the product issuer. Generation Life provides general financial product advice and other services related to investment life insurance products and life risk insurance products. Superannuation general financial product advice is provided by Generation Development Services Pty Ltd as CAR, No. 001317211 of </w:t>
      </w:r>
      <w:proofErr w:type="spellStart"/>
      <w:r w:rsidRPr="000A223D">
        <w:rPr>
          <w:rFonts w:ascii="Arial" w:hAnsi="Arial" w:cs="Arial"/>
          <w:sz w:val="14"/>
          <w:szCs w:val="14"/>
        </w:rPr>
        <w:t>Evidentia</w:t>
      </w:r>
      <w:proofErr w:type="spellEnd"/>
      <w:r w:rsidRPr="000A223D">
        <w:rPr>
          <w:rFonts w:ascii="Arial" w:hAnsi="Arial" w:cs="Arial"/>
          <w:sz w:val="14"/>
          <w:szCs w:val="14"/>
        </w:rPr>
        <w:t xml:space="preserve"> Financial Services Pty Ltd AFSL 546217. Information provided is general in nature and does not consider the investment objectives, financial situation or needs of any person.  The PDS and TMD at genlife.com.au should be considered in deciding to acquire, hold or dispose of the product. Past performance is not a reliable indicator of future performance. Investments carry risks.</w:t>
      </w:r>
    </w:p>
    <w:sectPr w:rsidR="000A223D" w:rsidRPr="000A2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F6"/>
    <w:rsid w:val="0002434D"/>
    <w:rsid w:val="0006192F"/>
    <w:rsid w:val="0009387B"/>
    <w:rsid w:val="000A223D"/>
    <w:rsid w:val="000C279F"/>
    <w:rsid w:val="00110204"/>
    <w:rsid w:val="00117742"/>
    <w:rsid w:val="00143100"/>
    <w:rsid w:val="00145A42"/>
    <w:rsid w:val="00151669"/>
    <w:rsid w:val="00222057"/>
    <w:rsid w:val="00234035"/>
    <w:rsid w:val="003B4E5D"/>
    <w:rsid w:val="003E3C0C"/>
    <w:rsid w:val="004651F6"/>
    <w:rsid w:val="00470726"/>
    <w:rsid w:val="00486DFA"/>
    <w:rsid w:val="00493370"/>
    <w:rsid w:val="00525513"/>
    <w:rsid w:val="00571F88"/>
    <w:rsid w:val="006670A2"/>
    <w:rsid w:val="00667CD9"/>
    <w:rsid w:val="007373B8"/>
    <w:rsid w:val="0078406B"/>
    <w:rsid w:val="007E24F4"/>
    <w:rsid w:val="009945A0"/>
    <w:rsid w:val="00B416AF"/>
    <w:rsid w:val="00B5648A"/>
    <w:rsid w:val="00B60ECB"/>
    <w:rsid w:val="00BE1DDE"/>
    <w:rsid w:val="00C35187"/>
    <w:rsid w:val="00D52B5D"/>
    <w:rsid w:val="00DE4C37"/>
    <w:rsid w:val="00E2254A"/>
    <w:rsid w:val="00E35D2B"/>
    <w:rsid w:val="00F27902"/>
    <w:rsid w:val="00F7632F"/>
    <w:rsid w:val="00F846FD"/>
    <w:rsid w:val="00F95F16"/>
    <w:rsid w:val="00FB2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3E8D"/>
  <w15:chartTrackingRefBased/>
  <w15:docId w15:val="{CEE8E0D5-1315-4024-92D3-5BF532B7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5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5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1F6"/>
    <w:rPr>
      <w:rFonts w:eastAsiaTheme="majorEastAsia" w:cstheme="majorBidi"/>
      <w:color w:val="272727" w:themeColor="text1" w:themeTint="D8"/>
    </w:rPr>
  </w:style>
  <w:style w:type="paragraph" w:styleId="Title">
    <w:name w:val="Title"/>
    <w:basedOn w:val="Normal"/>
    <w:next w:val="Normal"/>
    <w:link w:val="TitleChar"/>
    <w:uiPriority w:val="10"/>
    <w:qFormat/>
    <w:rsid w:val="00465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1F6"/>
    <w:pPr>
      <w:spacing w:before="160"/>
      <w:jc w:val="center"/>
    </w:pPr>
    <w:rPr>
      <w:i/>
      <w:iCs/>
      <w:color w:val="404040" w:themeColor="text1" w:themeTint="BF"/>
    </w:rPr>
  </w:style>
  <w:style w:type="character" w:customStyle="1" w:styleId="QuoteChar">
    <w:name w:val="Quote Char"/>
    <w:basedOn w:val="DefaultParagraphFont"/>
    <w:link w:val="Quote"/>
    <w:uiPriority w:val="29"/>
    <w:rsid w:val="004651F6"/>
    <w:rPr>
      <w:i/>
      <w:iCs/>
      <w:color w:val="404040" w:themeColor="text1" w:themeTint="BF"/>
    </w:rPr>
  </w:style>
  <w:style w:type="paragraph" w:styleId="ListParagraph">
    <w:name w:val="List Paragraph"/>
    <w:basedOn w:val="Normal"/>
    <w:uiPriority w:val="34"/>
    <w:qFormat/>
    <w:rsid w:val="004651F6"/>
    <w:pPr>
      <w:ind w:left="720"/>
      <w:contextualSpacing/>
    </w:pPr>
  </w:style>
  <w:style w:type="character" w:styleId="IntenseEmphasis">
    <w:name w:val="Intense Emphasis"/>
    <w:basedOn w:val="DefaultParagraphFont"/>
    <w:uiPriority w:val="21"/>
    <w:qFormat/>
    <w:rsid w:val="004651F6"/>
    <w:rPr>
      <w:i/>
      <w:iCs/>
      <w:color w:val="0F4761" w:themeColor="accent1" w:themeShade="BF"/>
    </w:rPr>
  </w:style>
  <w:style w:type="paragraph" w:styleId="IntenseQuote">
    <w:name w:val="Intense Quote"/>
    <w:basedOn w:val="Normal"/>
    <w:next w:val="Normal"/>
    <w:link w:val="IntenseQuoteChar"/>
    <w:uiPriority w:val="30"/>
    <w:qFormat/>
    <w:rsid w:val="00465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1F6"/>
    <w:rPr>
      <w:i/>
      <w:iCs/>
      <w:color w:val="0F4761" w:themeColor="accent1" w:themeShade="BF"/>
    </w:rPr>
  </w:style>
  <w:style w:type="character" w:styleId="IntenseReference">
    <w:name w:val="Intense Reference"/>
    <w:basedOn w:val="DefaultParagraphFont"/>
    <w:uiPriority w:val="32"/>
    <w:qFormat/>
    <w:rsid w:val="004651F6"/>
    <w:rPr>
      <w:b/>
      <w:bCs/>
      <w:smallCaps/>
      <w:color w:val="0F4761" w:themeColor="accent1" w:themeShade="BF"/>
      <w:spacing w:val="5"/>
    </w:rPr>
  </w:style>
  <w:style w:type="paragraph" w:customStyle="1" w:styleId="pdq2pgselectionanchorcontainer">
    <w:name w:val="pdq2pg_selectionanchorcontainer"/>
    <w:basedOn w:val="Normal"/>
    <w:rsid w:val="00B60E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60E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E2254A"/>
    <w:pPr>
      <w:spacing w:after="0" w:line="240" w:lineRule="auto"/>
    </w:pPr>
  </w:style>
  <w:style w:type="character" w:styleId="CommentReference">
    <w:name w:val="annotation reference"/>
    <w:basedOn w:val="DefaultParagraphFont"/>
    <w:uiPriority w:val="99"/>
    <w:semiHidden/>
    <w:unhideWhenUsed/>
    <w:rsid w:val="00667CD9"/>
    <w:rPr>
      <w:sz w:val="16"/>
      <w:szCs w:val="16"/>
    </w:rPr>
  </w:style>
  <w:style w:type="paragraph" w:styleId="CommentText">
    <w:name w:val="annotation text"/>
    <w:basedOn w:val="Normal"/>
    <w:link w:val="CommentTextChar"/>
    <w:uiPriority w:val="99"/>
    <w:unhideWhenUsed/>
    <w:rsid w:val="00667CD9"/>
    <w:pPr>
      <w:spacing w:line="240" w:lineRule="auto"/>
    </w:pPr>
    <w:rPr>
      <w:sz w:val="20"/>
      <w:szCs w:val="20"/>
    </w:rPr>
  </w:style>
  <w:style w:type="character" w:customStyle="1" w:styleId="CommentTextChar">
    <w:name w:val="Comment Text Char"/>
    <w:basedOn w:val="DefaultParagraphFont"/>
    <w:link w:val="CommentText"/>
    <w:uiPriority w:val="99"/>
    <w:rsid w:val="00667CD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b4af1-2574-4dcb-8036-f727c0977fa8">
      <Terms xmlns="http://schemas.microsoft.com/office/infopath/2007/PartnerControls"/>
    </lcf76f155ced4ddcb4097134ff3c332f>
    <TaxCatchAll xmlns="e96ca70c-b442-4d4d-a455-f8164fd71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C4F745D42B147AABF0A6718317B08" ma:contentTypeVersion="16" ma:contentTypeDescription="Create a new document." ma:contentTypeScope="" ma:versionID="b1fb2e4a88486fbbc0b88d6855796a60">
  <xsd:schema xmlns:xsd="http://www.w3.org/2001/XMLSchema" xmlns:xs="http://www.w3.org/2001/XMLSchema" xmlns:p="http://schemas.microsoft.com/office/2006/metadata/properties" xmlns:ns2="c9db4af1-2574-4dcb-8036-f727c0977fa8" xmlns:ns3="e96ca70c-b442-4d4d-a455-f8164fd715ed" targetNamespace="http://schemas.microsoft.com/office/2006/metadata/properties" ma:root="true" ma:fieldsID="77f5623d7ee3ba97b3ff381f0b0ca631" ns2:_="" ns3:_="">
    <xsd:import namespace="c9db4af1-2574-4dcb-8036-f727c0977fa8"/>
    <xsd:import namespace="e96ca70c-b442-4d4d-a455-f8164fd71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4af1-2574-4dcb-8036-f727c097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908cb3-bfa2-4328-b362-d8c43138db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6ca70c-b442-4d4d-a455-f8164fd715e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822ee46-647b-4b10-9a5f-427c6d44923e}" ma:internalName="TaxCatchAll" ma:showField="CatchAllData" ma:web="e96ca70c-b442-4d4d-a455-f8164fd715e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355DB-7610-4382-A31F-BCD325E03971}">
  <ds:schemaRefs>
    <ds:schemaRef ds:uri="http://schemas.microsoft.com/office/2006/metadata/properties"/>
    <ds:schemaRef ds:uri="http://schemas.microsoft.com/office/infopath/2007/PartnerControls"/>
    <ds:schemaRef ds:uri="ede1d2d5-e801-4008-a576-4f1e4dcee10b"/>
    <ds:schemaRef ds:uri="a18c51fe-75a4-4cba-b6ef-be1a48236dbe"/>
  </ds:schemaRefs>
</ds:datastoreItem>
</file>

<file path=customXml/itemProps2.xml><?xml version="1.0" encoding="utf-8"?>
<ds:datastoreItem xmlns:ds="http://schemas.openxmlformats.org/officeDocument/2006/customXml" ds:itemID="{4A2153D8-775C-4462-8BB2-27B0EE3DC1DE}">
  <ds:schemaRefs>
    <ds:schemaRef ds:uri="http://schemas.microsoft.com/sharepoint/v3/contenttype/forms"/>
  </ds:schemaRefs>
</ds:datastoreItem>
</file>

<file path=customXml/itemProps3.xml><?xml version="1.0" encoding="utf-8"?>
<ds:datastoreItem xmlns:ds="http://schemas.openxmlformats.org/officeDocument/2006/customXml" ds:itemID="{AA7857DE-7815-457B-B65F-E289E61B1839}"/>
</file>

<file path=docMetadata/LabelInfo.xml><?xml version="1.0" encoding="utf-8"?>
<clbl:labelList xmlns:clbl="http://schemas.microsoft.com/office/2020/mipLabelMetadata">
  <clbl:label id="{83397a74-6440-4a05-a10b-9a5b2f99e153}" enabled="1" method="Standard" siteId="{3f8de446-0ae2-4157-a3ba-871e6f29b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4902</Characters>
  <Application>Microsoft Office Word</Application>
  <DocSecurity>0</DocSecurity>
  <Lines>70</Lines>
  <Paragraphs>32</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Karlee Currall</dc:creator>
  <cp:keywords/>
  <dc:description/>
  <cp:lastModifiedBy>Amy Kilgannon</cp:lastModifiedBy>
  <cp:revision>2</cp:revision>
  <dcterms:created xsi:type="dcterms:W3CDTF">2026-07-23T01:05:00Z</dcterms:created>
  <dcterms:modified xsi:type="dcterms:W3CDTF">2026-07-23T01:05:00Z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0x010100615C4F745D42B147AABF0A6718317B08</vt:lpwstr>
  </property>
  <property fmtid="{D5CDD505-2E9C-101B-9397-08002B2CF9AE}" pid="3" name="MediaServiceImageTags">
    <vt:lpwstr/>
  </property>
</Properties>
</file>