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BFC92" w14:textId="77777777" w:rsidR="0044751F" w:rsidRPr="000B1BB2" w:rsidRDefault="0044751F">
      <w:pPr>
        <w:rPr>
          <w:rFonts w:ascii="Arial" w:hAnsi="Arial" w:cs="Arial"/>
        </w:rPr>
      </w:pPr>
      <w:r w:rsidRPr="000B1BB2">
        <w:rPr>
          <w:rFonts w:ascii="Arial" w:hAnsi="Arial" w:cs="Arial"/>
          <w:noProof/>
          <w:lang w:val="en-GB" w:eastAsia="en-GB"/>
        </w:rPr>
        <w:drawing>
          <wp:inline distT="0" distB="0" distL="0" distR="0" wp14:anchorId="1D424441" wp14:editId="237DA9C9">
            <wp:extent cx="1616400" cy="431528"/>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neration Life Logo.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6400" cy="431528"/>
                    </a:xfrm>
                    <a:prstGeom prst="rect">
                      <a:avLst/>
                    </a:prstGeom>
                  </pic:spPr>
                </pic:pic>
              </a:graphicData>
            </a:graphic>
          </wp:inline>
        </w:drawing>
      </w:r>
    </w:p>
    <w:p w14:paraId="26354023" w14:textId="77777777" w:rsidR="00C4539E" w:rsidRPr="000B1BB2" w:rsidRDefault="00C4539E">
      <w:pPr>
        <w:rPr>
          <w:rFonts w:ascii="Arial" w:hAnsi="Arial" w:cs="Arial"/>
        </w:rPr>
      </w:pPr>
    </w:p>
    <w:p w14:paraId="5502C120" w14:textId="47627F59" w:rsidR="00E27E5D" w:rsidRPr="000B1BB2" w:rsidRDefault="00E27E5D" w:rsidP="00572648">
      <w:pPr>
        <w:pStyle w:val="Heading2"/>
        <w:rPr>
          <w:rFonts w:ascii="Arial" w:hAnsi="Arial" w:cs="Arial"/>
          <w:color w:val="2B41B1"/>
          <w:sz w:val="48"/>
          <w:szCs w:val="32"/>
        </w:rPr>
      </w:pPr>
      <w:r w:rsidRPr="000B1BB2">
        <w:rPr>
          <w:rFonts w:ascii="Arial" w:hAnsi="Arial" w:cs="Arial"/>
          <w:color w:val="2B41B1"/>
          <w:sz w:val="48"/>
          <w:szCs w:val="32"/>
        </w:rPr>
        <w:br/>
        <w:t xml:space="preserve">Sample Record of Advice or </w:t>
      </w:r>
    </w:p>
    <w:p w14:paraId="15E24CFE" w14:textId="46C903BD" w:rsidR="00FE6E18" w:rsidRPr="000B1BB2" w:rsidRDefault="00E27E5D" w:rsidP="00572648">
      <w:pPr>
        <w:pStyle w:val="Heading2"/>
        <w:rPr>
          <w:rFonts w:ascii="Arial" w:hAnsi="Arial" w:cs="Arial"/>
          <w:color w:val="2B41B1"/>
          <w:sz w:val="48"/>
          <w:szCs w:val="32"/>
        </w:rPr>
      </w:pPr>
      <w:r w:rsidRPr="000B1BB2">
        <w:rPr>
          <w:rFonts w:ascii="Arial" w:hAnsi="Arial" w:cs="Arial"/>
          <w:color w:val="2B41B1"/>
          <w:sz w:val="48"/>
          <w:szCs w:val="32"/>
        </w:rPr>
        <w:t>Statement of Advice inserts</w:t>
      </w:r>
      <w:r w:rsidRPr="000B1BB2">
        <w:rPr>
          <w:rFonts w:ascii="Arial" w:hAnsi="Arial" w:cs="Arial"/>
          <w:color w:val="2B41B1"/>
          <w:sz w:val="48"/>
          <w:szCs w:val="32"/>
        </w:rPr>
        <w:tab/>
      </w:r>
      <w:r w:rsidRPr="000B1BB2">
        <w:rPr>
          <w:rFonts w:ascii="Arial" w:hAnsi="Arial" w:cs="Arial"/>
          <w:color w:val="2B41B1"/>
          <w:sz w:val="48"/>
          <w:szCs w:val="32"/>
        </w:rPr>
        <w:tab/>
      </w:r>
      <w:r w:rsidRPr="000B1BB2">
        <w:rPr>
          <w:rFonts w:ascii="Arial" w:hAnsi="Arial" w:cs="Arial"/>
          <w:color w:val="2B41B1"/>
          <w:sz w:val="48"/>
          <w:szCs w:val="32"/>
        </w:rPr>
        <w:tab/>
      </w:r>
      <w:r w:rsidR="00B538D1" w:rsidRPr="000B1BB2">
        <w:rPr>
          <w:rFonts w:ascii="Arial" w:hAnsi="Arial" w:cs="Arial"/>
          <w:color w:val="2B41B1"/>
          <w:sz w:val="48"/>
          <w:szCs w:val="32"/>
        </w:rPr>
        <w:tab/>
      </w:r>
      <w:r w:rsidR="0010427C" w:rsidRPr="000B1BB2">
        <w:rPr>
          <w:rFonts w:ascii="Arial" w:hAnsi="Arial" w:cs="Arial"/>
          <w:noProof/>
          <w:color w:val="2B41B1"/>
          <w:sz w:val="48"/>
          <w:szCs w:val="32"/>
          <w:lang w:val="en-GB" w:eastAsia="en-GB"/>
        </w:rPr>
        <w:drawing>
          <wp:inline distT="0" distB="0" distL="0" distR="0" wp14:anchorId="681ED630" wp14:editId="020BEDEC">
            <wp:extent cx="216000" cy="216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rner Arrow.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6000" cy="216000"/>
                    </a:xfrm>
                    <a:prstGeom prst="rect">
                      <a:avLst/>
                    </a:prstGeom>
                  </pic:spPr>
                </pic:pic>
              </a:graphicData>
            </a:graphic>
          </wp:inline>
        </w:drawing>
      </w:r>
    </w:p>
    <w:p w14:paraId="5CA8F581" w14:textId="780E3D8C" w:rsidR="00503FCB" w:rsidRPr="000B1BB2" w:rsidRDefault="00BE6FA9" w:rsidP="007D619A">
      <w:pPr>
        <w:spacing w:before="120" w:after="0"/>
        <w:rPr>
          <w:rFonts w:ascii="Arial" w:eastAsiaTheme="majorEastAsia" w:hAnsi="Arial" w:cs="Arial"/>
          <w:color w:val="5E5D5D"/>
          <w:sz w:val="32"/>
          <w:szCs w:val="32"/>
        </w:rPr>
      </w:pPr>
      <w:r w:rsidRPr="000B1BB2">
        <w:rPr>
          <w:rFonts w:ascii="Arial" w:eastAsiaTheme="majorEastAsia" w:hAnsi="Arial" w:cs="Arial"/>
          <w:color w:val="5E5D5D"/>
          <w:sz w:val="32"/>
          <w:szCs w:val="32"/>
        </w:rPr>
        <w:br/>
      </w:r>
      <w:bookmarkStart w:id="0" w:name="_Hlk41560842"/>
      <w:bookmarkStart w:id="1" w:name="_Hlk41561154"/>
      <w:r w:rsidR="00E27E5D" w:rsidRPr="000B1BB2">
        <w:rPr>
          <w:rFonts w:ascii="Arial" w:eastAsiaTheme="majorEastAsia" w:hAnsi="Arial" w:cs="Arial"/>
          <w:color w:val="5E5D5D"/>
          <w:sz w:val="32"/>
          <w:szCs w:val="32"/>
        </w:rPr>
        <w:t>Generation Life Investment Bonds</w:t>
      </w:r>
      <w:r w:rsidR="00E27E5D" w:rsidRPr="000B1BB2">
        <w:rPr>
          <w:rFonts w:ascii="Arial" w:hAnsi="Arial" w:cs="Arial"/>
          <w:sz w:val="20"/>
          <w:szCs w:val="32"/>
        </w:rPr>
        <w:br/>
      </w:r>
      <w:r w:rsidR="00872C58" w:rsidRPr="000B1BB2">
        <w:rPr>
          <w:rFonts w:ascii="Arial" w:eastAsiaTheme="majorEastAsia" w:hAnsi="Arial" w:cs="Arial"/>
          <w:color w:val="5E5D5D"/>
          <w:sz w:val="32"/>
          <w:szCs w:val="32"/>
        </w:rPr>
        <w:t xml:space="preserve">Investment </w:t>
      </w:r>
      <w:r w:rsidR="00E27E5D" w:rsidRPr="000B1BB2">
        <w:rPr>
          <w:rFonts w:ascii="Arial" w:eastAsiaTheme="majorEastAsia" w:hAnsi="Arial" w:cs="Arial"/>
          <w:color w:val="5E5D5D"/>
          <w:sz w:val="32"/>
          <w:szCs w:val="32"/>
        </w:rPr>
        <w:t xml:space="preserve">manager change - </w:t>
      </w:r>
      <w:r w:rsidR="004E3A6B" w:rsidRPr="000B1BB2">
        <w:rPr>
          <w:rFonts w:ascii="Arial" w:eastAsiaTheme="majorEastAsia" w:hAnsi="Arial" w:cs="Arial"/>
          <w:color w:val="5E5D5D"/>
          <w:sz w:val="32"/>
          <w:szCs w:val="32"/>
        </w:rPr>
        <w:t>Alternatives</w:t>
      </w:r>
      <w:r w:rsidR="00E27E5D" w:rsidRPr="000B1BB2">
        <w:rPr>
          <w:rFonts w:ascii="Arial" w:eastAsiaTheme="majorEastAsia" w:hAnsi="Arial" w:cs="Arial"/>
          <w:color w:val="5E5D5D"/>
          <w:sz w:val="32"/>
          <w:szCs w:val="32"/>
        </w:rPr>
        <w:t xml:space="preserve"> (</w:t>
      </w:r>
      <w:r w:rsidR="009326BF" w:rsidRPr="000B1BB2">
        <w:rPr>
          <w:rFonts w:ascii="Arial" w:eastAsiaTheme="majorEastAsia" w:hAnsi="Arial" w:cs="Arial"/>
          <w:color w:val="5E5D5D"/>
          <w:sz w:val="32"/>
          <w:szCs w:val="32"/>
        </w:rPr>
        <w:t>UF0</w:t>
      </w:r>
      <w:r w:rsidR="004E3A6B" w:rsidRPr="000B1BB2">
        <w:rPr>
          <w:rFonts w:ascii="Arial" w:eastAsiaTheme="majorEastAsia" w:hAnsi="Arial" w:cs="Arial"/>
          <w:color w:val="5E5D5D"/>
          <w:sz w:val="32"/>
          <w:szCs w:val="32"/>
        </w:rPr>
        <w:t>6A</w:t>
      </w:r>
      <w:r w:rsidR="00503FCB" w:rsidRPr="000B1BB2">
        <w:rPr>
          <w:rFonts w:ascii="Arial" w:eastAsiaTheme="majorEastAsia" w:hAnsi="Arial" w:cs="Arial"/>
          <w:color w:val="5E5D5D"/>
          <w:sz w:val="32"/>
          <w:szCs w:val="32"/>
        </w:rPr>
        <w:t>)</w:t>
      </w:r>
    </w:p>
    <w:p w14:paraId="0DDDAC3C" w14:textId="555C1201" w:rsidR="00E27E5D" w:rsidRPr="000B1BB2" w:rsidRDefault="00503FCB" w:rsidP="00503FCB">
      <w:pPr>
        <w:spacing w:after="0"/>
        <w:rPr>
          <w:rFonts w:ascii="Arial" w:eastAsiaTheme="majorEastAsia" w:hAnsi="Arial" w:cs="Arial"/>
          <w:color w:val="5E5D5D"/>
          <w:sz w:val="32"/>
          <w:szCs w:val="32"/>
        </w:rPr>
      </w:pPr>
      <w:r w:rsidRPr="000B1BB2">
        <w:rPr>
          <w:rFonts w:ascii="Arial" w:eastAsiaTheme="majorEastAsia" w:hAnsi="Arial" w:cs="Arial"/>
          <w:color w:val="5E5D5D"/>
          <w:sz w:val="32"/>
          <w:szCs w:val="32"/>
        </w:rPr>
        <w:t xml:space="preserve">Generation Life APIR code - </w:t>
      </w:r>
      <w:r w:rsidR="004E3A6B" w:rsidRPr="000B1BB2">
        <w:rPr>
          <w:rFonts w:ascii="Arial" w:eastAsiaTheme="majorEastAsia" w:hAnsi="Arial" w:cs="Arial"/>
          <w:color w:val="5E5D5D"/>
          <w:sz w:val="32"/>
          <w:szCs w:val="32"/>
        </w:rPr>
        <w:t>ALL0527AU</w:t>
      </w:r>
    </w:p>
    <w:p w14:paraId="3B8DBB98" w14:textId="77777777" w:rsidR="00E27E5D" w:rsidRPr="000B1BB2" w:rsidRDefault="00E27E5D" w:rsidP="00E27E5D">
      <w:pPr>
        <w:ind w:right="-75"/>
        <w:rPr>
          <w:rFonts w:ascii="Arial" w:hAnsi="Arial" w:cs="Arial"/>
          <w:b/>
          <w:bCs/>
          <w:color w:val="2B41B1"/>
          <w:sz w:val="18"/>
          <w:szCs w:val="28"/>
        </w:rPr>
      </w:pPr>
    </w:p>
    <w:p w14:paraId="2B32CF8A" w14:textId="52FDBFCB" w:rsidR="00E27E5D" w:rsidRPr="000B1BB2" w:rsidRDefault="00E27E5D" w:rsidP="00E27E5D">
      <w:pPr>
        <w:ind w:right="-75"/>
        <w:rPr>
          <w:rFonts w:ascii="Arial" w:hAnsi="Arial" w:cs="Arial"/>
          <w:b/>
          <w:bCs/>
          <w:color w:val="2B41B1"/>
          <w:sz w:val="18"/>
          <w:szCs w:val="18"/>
        </w:rPr>
      </w:pPr>
      <w:r w:rsidRPr="000B1BB2">
        <w:rPr>
          <w:rFonts w:ascii="Arial" w:hAnsi="Arial" w:cs="Arial"/>
          <w:b/>
          <w:bCs/>
          <w:color w:val="2B41B1"/>
          <w:sz w:val="18"/>
          <w:szCs w:val="18"/>
        </w:rPr>
        <w:t>WHAT</w:t>
      </w:r>
      <w:r w:rsidR="00CF3A8D">
        <w:rPr>
          <w:rFonts w:ascii="Arial" w:hAnsi="Arial" w:cs="Arial"/>
          <w:b/>
          <w:bCs/>
          <w:color w:val="2B41B1"/>
          <w:sz w:val="18"/>
          <w:szCs w:val="18"/>
        </w:rPr>
        <w:t xml:space="preserve">’S </w:t>
      </w:r>
      <w:r w:rsidRPr="000B1BB2">
        <w:rPr>
          <w:rFonts w:ascii="Arial" w:hAnsi="Arial" w:cs="Arial"/>
          <w:b/>
          <w:bCs/>
          <w:color w:val="2B41B1"/>
          <w:sz w:val="18"/>
          <w:szCs w:val="18"/>
        </w:rPr>
        <w:t>CHANGING?</w:t>
      </w:r>
    </w:p>
    <w:p w14:paraId="5750A684" w14:textId="4978BD87" w:rsidR="00E27E5D" w:rsidRPr="000B1BB2" w:rsidRDefault="00E27E5D" w:rsidP="00E27E5D">
      <w:pPr>
        <w:ind w:right="-75"/>
        <w:rPr>
          <w:rFonts w:ascii="Arial" w:hAnsi="Arial" w:cs="Arial"/>
          <w:sz w:val="18"/>
          <w:szCs w:val="18"/>
        </w:rPr>
      </w:pPr>
      <w:r w:rsidRPr="000B1BB2">
        <w:rPr>
          <w:rFonts w:ascii="Arial" w:hAnsi="Arial" w:cs="Arial"/>
          <w:sz w:val="18"/>
          <w:szCs w:val="18"/>
        </w:rPr>
        <w:t xml:space="preserve">The Generation Life </w:t>
      </w:r>
      <w:r w:rsidR="004E3A6B" w:rsidRPr="000B1BB2">
        <w:rPr>
          <w:rFonts w:ascii="Arial" w:hAnsi="Arial" w:cs="Arial"/>
          <w:sz w:val="18"/>
          <w:szCs w:val="18"/>
        </w:rPr>
        <w:t>Alternatives</w:t>
      </w:r>
      <w:r w:rsidR="00622D9C" w:rsidRPr="000B1BB2">
        <w:rPr>
          <w:rFonts w:ascii="Arial" w:hAnsi="Arial" w:cs="Arial"/>
          <w:sz w:val="18"/>
          <w:szCs w:val="18"/>
        </w:rPr>
        <w:t xml:space="preserve"> </w:t>
      </w:r>
      <w:r w:rsidRPr="000B1BB2">
        <w:rPr>
          <w:rFonts w:ascii="Arial" w:hAnsi="Arial" w:cs="Arial"/>
          <w:sz w:val="18"/>
          <w:szCs w:val="18"/>
        </w:rPr>
        <w:t xml:space="preserve">option (Fund Code </w:t>
      </w:r>
      <w:r w:rsidR="009326BF" w:rsidRPr="000B1BB2">
        <w:rPr>
          <w:rFonts w:ascii="Arial" w:hAnsi="Arial" w:cs="Arial"/>
          <w:sz w:val="18"/>
          <w:szCs w:val="18"/>
        </w:rPr>
        <w:t>UF</w:t>
      </w:r>
      <w:r w:rsidR="00F16047" w:rsidRPr="000B1BB2">
        <w:rPr>
          <w:rFonts w:ascii="Arial" w:hAnsi="Arial" w:cs="Arial"/>
          <w:sz w:val="18"/>
          <w:szCs w:val="18"/>
        </w:rPr>
        <w:t>0</w:t>
      </w:r>
      <w:r w:rsidR="004E3A6B" w:rsidRPr="000B1BB2">
        <w:rPr>
          <w:rFonts w:ascii="Arial" w:hAnsi="Arial" w:cs="Arial"/>
          <w:sz w:val="18"/>
          <w:szCs w:val="18"/>
        </w:rPr>
        <w:t>6A</w:t>
      </w:r>
      <w:r w:rsidRPr="000B1BB2">
        <w:rPr>
          <w:rFonts w:ascii="Arial" w:hAnsi="Arial" w:cs="Arial"/>
          <w:sz w:val="18"/>
          <w:szCs w:val="18"/>
        </w:rPr>
        <w:t xml:space="preserve">) is changing </w:t>
      </w:r>
      <w:r w:rsidR="00872C58" w:rsidRPr="000B1BB2">
        <w:rPr>
          <w:rFonts w:ascii="Arial" w:hAnsi="Arial" w:cs="Arial"/>
          <w:sz w:val="18"/>
          <w:szCs w:val="18"/>
        </w:rPr>
        <w:t xml:space="preserve">investment </w:t>
      </w:r>
      <w:r w:rsidRPr="000B1BB2">
        <w:rPr>
          <w:rFonts w:ascii="Arial" w:hAnsi="Arial" w:cs="Arial"/>
          <w:sz w:val="18"/>
          <w:szCs w:val="18"/>
        </w:rPr>
        <w:t>manager and strategy.</w:t>
      </w:r>
    </w:p>
    <w:p w14:paraId="4C10F76F" w14:textId="49E577F9" w:rsidR="00E27E5D" w:rsidRPr="000B1BB2" w:rsidRDefault="003D64D2" w:rsidP="00E27E5D">
      <w:pPr>
        <w:ind w:right="-75"/>
        <w:rPr>
          <w:rFonts w:ascii="Arial" w:hAnsi="Arial" w:cs="Arial"/>
          <w:sz w:val="18"/>
          <w:szCs w:val="18"/>
        </w:rPr>
      </w:pPr>
      <w:r w:rsidRPr="000B1BB2">
        <w:rPr>
          <w:rFonts w:ascii="Arial" w:hAnsi="Arial" w:cs="Arial"/>
          <w:sz w:val="18"/>
          <w:szCs w:val="18"/>
        </w:rPr>
        <w:t xml:space="preserve">Firetrail Investments Pty Ltd </w:t>
      </w:r>
      <w:r w:rsidR="00E27E5D" w:rsidRPr="000B1BB2">
        <w:rPr>
          <w:rFonts w:ascii="Arial" w:hAnsi="Arial" w:cs="Arial"/>
          <w:sz w:val="18"/>
          <w:szCs w:val="18"/>
        </w:rPr>
        <w:t>is being replaced as the investment option</w:t>
      </w:r>
      <w:r w:rsidR="000B1BB2">
        <w:rPr>
          <w:rFonts w:ascii="Arial" w:hAnsi="Arial" w:cs="Arial"/>
          <w:sz w:val="18"/>
          <w:szCs w:val="18"/>
        </w:rPr>
        <w:t>’s</w:t>
      </w:r>
      <w:r w:rsidR="00E27E5D" w:rsidRPr="000B1BB2">
        <w:rPr>
          <w:rFonts w:ascii="Arial" w:hAnsi="Arial" w:cs="Arial"/>
          <w:sz w:val="18"/>
          <w:szCs w:val="18"/>
        </w:rPr>
        <w:t xml:space="preserve"> manager with </w:t>
      </w:r>
      <w:r w:rsidR="007E585C" w:rsidRPr="000B1BB2">
        <w:rPr>
          <w:rFonts w:ascii="Arial" w:hAnsi="Arial" w:cs="Arial"/>
          <w:sz w:val="18"/>
          <w:szCs w:val="18"/>
        </w:rPr>
        <w:t>L1 Capital</w:t>
      </w:r>
      <w:r w:rsidR="00F307C1" w:rsidRPr="000B1BB2">
        <w:rPr>
          <w:rFonts w:ascii="Arial" w:hAnsi="Arial" w:cs="Arial"/>
          <w:sz w:val="18"/>
          <w:szCs w:val="18"/>
        </w:rPr>
        <w:t xml:space="preserve"> Pty Ltd</w:t>
      </w:r>
      <w:r w:rsidR="003D1DDC" w:rsidRPr="000B1BB2">
        <w:rPr>
          <w:rFonts w:ascii="Arial" w:hAnsi="Arial" w:cs="Arial"/>
          <w:sz w:val="18"/>
          <w:szCs w:val="18"/>
        </w:rPr>
        <w:t>.</w:t>
      </w:r>
      <w:r w:rsidR="00E27E5D" w:rsidRPr="000B1BB2">
        <w:rPr>
          <w:rFonts w:ascii="Arial" w:hAnsi="Arial" w:cs="Arial"/>
          <w:sz w:val="18"/>
          <w:szCs w:val="18"/>
        </w:rPr>
        <w:t xml:space="preserve"> As a result, the investment option</w:t>
      </w:r>
      <w:r w:rsidR="000B1BB2">
        <w:rPr>
          <w:rFonts w:ascii="Arial" w:hAnsi="Arial" w:cs="Arial"/>
          <w:sz w:val="18"/>
          <w:szCs w:val="18"/>
        </w:rPr>
        <w:t>’s</w:t>
      </w:r>
      <w:r w:rsidR="00CF3A8D">
        <w:rPr>
          <w:rFonts w:ascii="Arial" w:hAnsi="Arial" w:cs="Arial"/>
          <w:sz w:val="18"/>
          <w:szCs w:val="18"/>
        </w:rPr>
        <w:t xml:space="preserve"> </w:t>
      </w:r>
      <w:r w:rsidR="00E27E5D" w:rsidRPr="000B1BB2">
        <w:rPr>
          <w:rFonts w:ascii="Arial" w:hAnsi="Arial" w:cs="Arial"/>
          <w:sz w:val="18"/>
          <w:szCs w:val="18"/>
        </w:rPr>
        <w:t xml:space="preserve">strategy will now change from the </w:t>
      </w:r>
      <w:r w:rsidR="007E585C" w:rsidRPr="000B1BB2">
        <w:rPr>
          <w:rFonts w:ascii="Arial" w:hAnsi="Arial" w:cs="Arial"/>
          <w:sz w:val="18"/>
          <w:szCs w:val="18"/>
        </w:rPr>
        <w:t>Firetrail Absolute Return</w:t>
      </w:r>
      <w:r w:rsidR="004573BA" w:rsidRPr="000B1BB2">
        <w:rPr>
          <w:rFonts w:ascii="Arial" w:hAnsi="Arial" w:cs="Arial"/>
          <w:sz w:val="18"/>
          <w:szCs w:val="18"/>
        </w:rPr>
        <w:t xml:space="preserve"> Fund</w:t>
      </w:r>
      <w:r w:rsidR="003D1DDC" w:rsidRPr="000B1BB2" w:rsidDel="003D1DDC">
        <w:rPr>
          <w:rFonts w:ascii="Arial" w:hAnsi="Arial" w:cs="Arial"/>
          <w:sz w:val="18"/>
          <w:szCs w:val="18"/>
        </w:rPr>
        <w:t xml:space="preserve"> </w:t>
      </w:r>
      <w:r w:rsidR="00E27E5D" w:rsidRPr="000B1BB2">
        <w:rPr>
          <w:rFonts w:ascii="Arial" w:hAnsi="Arial" w:cs="Arial"/>
          <w:sz w:val="18"/>
          <w:szCs w:val="18"/>
        </w:rPr>
        <w:t xml:space="preserve">to the </w:t>
      </w:r>
      <w:r w:rsidR="007E585C" w:rsidRPr="000B1BB2">
        <w:rPr>
          <w:rFonts w:ascii="Arial" w:hAnsi="Arial" w:cs="Arial"/>
          <w:sz w:val="18"/>
          <w:szCs w:val="18"/>
        </w:rPr>
        <w:t>L1 Capital Long Short</w:t>
      </w:r>
      <w:r w:rsidR="004573BA" w:rsidRPr="000B1BB2">
        <w:rPr>
          <w:rFonts w:ascii="Arial" w:hAnsi="Arial" w:cs="Arial"/>
          <w:sz w:val="18"/>
          <w:szCs w:val="18"/>
        </w:rPr>
        <w:t xml:space="preserve"> Fund</w:t>
      </w:r>
      <w:r w:rsidR="003D1DDC" w:rsidRPr="000B1BB2">
        <w:rPr>
          <w:rFonts w:ascii="Arial" w:hAnsi="Arial" w:cs="Arial"/>
          <w:sz w:val="18"/>
          <w:szCs w:val="18"/>
        </w:rPr>
        <w:t xml:space="preserve"> </w:t>
      </w:r>
      <w:r w:rsidR="00E27E5D" w:rsidRPr="000B1BB2">
        <w:rPr>
          <w:rFonts w:ascii="Arial" w:hAnsi="Arial" w:cs="Arial"/>
          <w:sz w:val="18"/>
          <w:szCs w:val="18"/>
        </w:rPr>
        <w:t>strategy</w:t>
      </w:r>
      <w:r w:rsidR="00CF4176" w:rsidRPr="000B1BB2">
        <w:rPr>
          <w:rFonts w:ascii="Arial" w:hAnsi="Arial" w:cs="Arial"/>
          <w:sz w:val="18"/>
          <w:szCs w:val="18"/>
        </w:rPr>
        <w:t xml:space="preserve"> effective </w:t>
      </w:r>
      <w:r w:rsidR="00025FA7">
        <w:rPr>
          <w:rFonts w:ascii="Arial" w:hAnsi="Arial" w:cs="Arial"/>
          <w:sz w:val="18"/>
          <w:szCs w:val="18"/>
        </w:rPr>
        <w:t>21</w:t>
      </w:r>
      <w:r w:rsidR="007E585C" w:rsidRPr="000B1BB2">
        <w:rPr>
          <w:rFonts w:ascii="Arial" w:hAnsi="Arial" w:cs="Arial"/>
          <w:sz w:val="18"/>
          <w:szCs w:val="18"/>
        </w:rPr>
        <w:t xml:space="preserve"> </w:t>
      </w:r>
      <w:r w:rsidR="00446636" w:rsidRPr="000B1BB2">
        <w:rPr>
          <w:rFonts w:ascii="Arial" w:hAnsi="Arial" w:cs="Arial"/>
          <w:sz w:val="18"/>
          <w:szCs w:val="18"/>
        </w:rPr>
        <w:t>June</w:t>
      </w:r>
      <w:r w:rsidR="00CF4176" w:rsidRPr="000B1BB2">
        <w:rPr>
          <w:rFonts w:ascii="Arial" w:hAnsi="Arial" w:cs="Arial"/>
          <w:sz w:val="18"/>
          <w:szCs w:val="18"/>
        </w:rPr>
        <w:t xml:space="preserve"> 202</w:t>
      </w:r>
      <w:r w:rsidR="007E585C" w:rsidRPr="000B1BB2">
        <w:rPr>
          <w:rFonts w:ascii="Arial" w:hAnsi="Arial" w:cs="Arial"/>
          <w:sz w:val="18"/>
          <w:szCs w:val="18"/>
        </w:rPr>
        <w:t>5</w:t>
      </w:r>
      <w:r w:rsidR="00E27E5D" w:rsidRPr="000B1BB2">
        <w:rPr>
          <w:rFonts w:ascii="Arial" w:hAnsi="Arial" w:cs="Arial"/>
          <w:sz w:val="18"/>
          <w:szCs w:val="18"/>
        </w:rPr>
        <w:t>.</w:t>
      </w:r>
    </w:p>
    <w:p w14:paraId="41F1433A" w14:textId="77777777" w:rsidR="00E27E5D" w:rsidRPr="000B1BB2" w:rsidRDefault="00E27E5D" w:rsidP="00E27E5D">
      <w:pPr>
        <w:ind w:right="-75"/>
        <w:rPr>
          <w:rFonts w:ascii="Arial" w:hAnsi="Arial" w:cs="Arial"/>
          <w:b/>
          <w:bCs/>
          <w:color w:val="2B41B1"/>
          <w:sz w:val="18"/>
          <w:szCs w:val="18"/>
        </w:rPr>
      </w:pPr>
      <w:r w:rsidRPr="000B1BB2">
        <w:rPr>
          <w:rFonts w:ascii="Arial" w:hAnsi="Arial" w:cs="Arial"/>
          <w:b/>
          <w:bCs/>
          <w:color w:val="2B41B1"/>
          <w:sz w:val="18"/>
          <w:szCs w:val="18"/>
        </w:rPr>
        <w:t>WHY IS IT CHANGING?</w:t>
      </w:r>
    </w:p>
    <w:p w14:paraId="09F36CCB" w14:textId="3793EF5D" w:rsidR="00EC7FCE" w:rsidRPr="000B1BB2" w:rsidRDefault="00EC7FCE" w:rsidP="00422A2F">
      <w:pPr>
        <w:ind w:right="-75"/>
        <w:rPr>
          <w:rFonts w:ascii="Arial" w:hAnsi="Arial" w:cs="Arial"/>
          <w:sz w:val="18"/>
          <w:szCs w:val="18"/>
        </w:rPr>
      </w:pPr>
      <w:r w:rsidRPr="000B1BB2">
        <w:rPr>
          <w:rFonts w:ascii="Arial" w:hAnsi="Arial" w:cs="Arial"/>
          <w:sz w:val="18"/>
          <w:szCs w:val="18"/>
        </w:rPr>
        <w:t xml:space="preserve">Generation Life has conducted an </w:t>
      </w:r>
      <w:r w:rsidR="00384470" w:rsidRPr="000B1BB2">
        <w:rPr>
          <w:rFonts w:ascii="Arial" w:hAnsi="Arial" w:cs="Arial"/>
          <w:sz w:val="18"/>
          <w:szCs w:val="18"/>
        </w:rPr>
        <w:t xml:space="preserve">extensive review of the suitability of the market neutral </w:t>
      </w:r>
      <w:r w:rsidRPr="000B1BB2">
        <w:rPr>
          <w:rFonts w:ascii="Arial" w:hAnsi="Arial" w:cs="Arial"/>
          <w:sz w:val="18"/>
          <w:szCs w:val="18"/>
        </w:rPr>
        <w:t xml:space="preserve">sector, including returns achieved or likely to be achieved </w:t>
      </w:r>
      <w:r w:rsidR="00384470" w:rsidRPr="000B1BB2">
        <w:rPr>
          <w:rFonts w:ascii="Arial" w:hAnsi="Arial" w:cs="Arial"/>
          <w:sz w:val="18"/>
          <w:szCs w:val="18"/>
        </w:rPr>
        <w:t>on an after-tax basis</w:t>
      </w:r>
      <w:r w:rsidRPr="000B1BB2">
        <w:rPr>
          <w:rFonts w:ascii="Arial" w:hAnsi="Arial" w:cs="Arial"/>
          <w:sz w:val="18"/>
          <w:szCs w:val="18"/>
        </w:rPr>
        <w:t xml:space="preserve">. </w:t>
      </w:r>
      <w:r w:rsidR="00F16047" w:rsidRPr="000B1BB2">
        <w:rPr>
          <w:rFonts w:ascii="Arial" w:hAnsi="Arial" w:cs="Arial"/>
          <w:sz w:val="18"/>
          <w:szCs w:val="18"/>
        </w:rPr>
        <w:t>Generation Life</w:t>
      </w:r>
      <w:r w:rsidR="00384470" w:rsidRPr="000B1BB2">
        <w:rPr>
          <w:rFonts w:ascii="Arial" w:hAnsi="Arial" w:cs="Arial"/>
          <w:sz w:val="18"/>
          <w:szCs w:val="18"/>
        </w:rPr>
        <w:t xml:space="preserve"> has </w:t>
      </w:r>
      <w:r w:rsidRPr="000B1BB2">
        <w:rPr>
          <w:rFonts w:ascii="Arial" w:hAnsi="Arial" w:cs="Arial"/>
          <w:sz w:val="18"/>
          <w:szCs w:val="18"/>
        </w:rPr>
        <w:t xml:space="preserve">concluded </w:t>
      </w:r>
      <w:r w:rsidR="00384470" w:rsidRPr="000B1BB2">
        <w:rPr>
          <w:rFonts w:ascii="Arial" w:hAnsi="Arial" w:cs="Arial"/>
          <w:sz w:val="18"/>
          <w:szCs w:val="18"/>
        </w:rPr>
        <w:t xml:space="preserve">that the </w:t>
      </w:r>
      <w:r w:rsidRPr="000B1BB2">
        <w:rPr>
          <w:rFonts w:ascii="Arial" w:hAnsi="Arial" w:cs="Arial"/>
          <w:sz w:val="18"/>
          <w:szCs w:val="18"/>
        </w:rPr>
        <w:t xml:space="preserve">sector, </w:t>
      </w:r>
      <w:r w:rsidR="00384470" w:rsidRPr="000B1BB2">
        <w:rPr>
          <w:rFonts w:ascii="Arial" w:hAnsi="Arial" w:cs="Arial"/>
          <w:sz w:val="18"/>
          <w:szCs w:val="18"/>
        </w:rPr>
        <w:t xml:space="preserve">and </w:t>
      </w:r>
      <w:r w:rsidRPr="000B1BB2">
        <w:rPr>
          <w:rFonts w:ascii="Arial" w:hAnsi="Arial" w:cs="Arial"/>
          <w:sz w:val="18"/>
          <w:szCs w:val="18"/>
        </w:rPr>
        <w:t xml:space="preserve">therefore the Firetrail Absolute Return Fund </w:t>
      </w:r>
      <w:r w:rsidR="00384470" w:rsidRPr="000B1BB2">
        <w:rPr>
          <w:rFonts w:ascii="Arial" w:hAnsi="Arial" w:cs="Arial"/>
          <w:sz w:val="18"/>
          <w:szCs w:val="18"/>
        </w:rPr>
        <w:t>strategy</w:t>
      </w:r>
      <w:r w:rsidRPr="000B1BB2">
        <w:rPr>
          <w:rFonts w:ascii="Arial" w:hAnsi="Arial" w:cs="Arial"/>
          <w:sz w:val="18"/>
          <w:szCs w:val="18"/>
        </w:rPr>
        <w:t>,</w:t>
      </w:r>
      <w:r w:rsidR="00384470" w:rsidRPr="000B1BB2">
        <w:rPr>
          <w:rFonts w:ascii="Arial" w:hAnsi="Arial" w:cs="Arial"/>
          <w:sz w:val="18"/>
          <w:szCs w:val="18"/>
        </w:rPr>
        <w:t xml:space="preserve"> is not suitable for inclusion as an </w:t>
      </w:r>
      <w:r w:rsidRPr="000B1BB2">
        <w:rPr>
          <w:rFonts w:ascii="Arial" w:hAnsi="Arial" w:cs="Arial"/>
          <w:sz w:val="18"/>
          <w:szCs w:val="18"/>
        </w:rPr>
        <w:t xml:space="preserve">investment option on </w:t>
      </w:r>
      <w:r w:rsidR="00384470" w:rsidRPr="000B1BB2">
        <w:rPr>
          <w:rFonts w:ascii="Arial" w:hAnsi="Arial" w:cs="Arial"/>
          <w:sz w:val="18"/>
          <w:szCs w:val="18"/>
        </w:rPr>
        <w:t xml:space="preserve">the </w:t>
      </w:r>
      <w:r w:rsidRPr="000B1BB2">
        <w:rPr>
          <w:rFonts w:ascii="Arial" w:hAnsi="Arial" w:cs="Arial"/>
          <w:sz w:val="18"/>
          <w:szCs w:val="18"/>
        </w:rPr>
        <w:t xml:space="preserve">Investment Bonds investment </w:t>
      </w:r>
      <w:r w:rsidR="00384470" w:rsidRPr="000B1BB2">
        <w:rPr>
          <w:rFonts w:ascii="Arial" w:hAnsi="Arial" w:cs="Arial"/>
          <w:sz w:val="18"/>
          <w:szCs w:val="18"/>
        </w:rPr>
        <w:t xml:space="preserve">menu. </w:t>
      </w:r>
    </w:p>
    <w:p w14:paraId="1DF9FC6A" w14:textId="7D0E06E2" w:rsidR="007219E7" w:rsidRPr="000B1BB2" w:rsidRDefault="00384470" w:rsidP="00422A2F">
      <w:pPr>
        <w:ind w:right="-75"/>
        <w:rPr>
          <w:rFonts w:ascii="Arial" w:hAnsi="Arial" w:cs="Arial"/>
          <w:sz w:val="18"/>
          <w:szCs w:val="18"/>
        </w:rPr>
      </w:pPr>
      <w:r w:rsidRPr="000B1BB2">
        <w:rPr>
          <w:rFonts w:ascii="Arial" w:hAnsi="Arial" w:cs="Arial"/>
          <w:sz w:val="18"/>
          <w:szCs w:val="18"/>
        </w:rPr>
        <w:t>With excess</w:t>
      </w:r>
      <w:r w:rsidR="00EC7FCE" w:rsidRPr="000B1BB2">
        <w:rPr>
          <w:rFonts w:ascii="Arial" w:hAnsi="Arial" w:cs="Arial"/>
          <w:sz w:val="18"/>
          <w:szCs w:val="18"/>
        </w:rPr>
        <w:t xml:space="preserve">ive </w:t>
      </w:r>
      <w:r w:rsidRPr="000B1BB2">
        <w:rPr>
          <w:rFonts w:ascii="Arial" w:hAnsi="Arial" w:cs="Arial"/>
          <w:sz w:val="18"/>
          <w:szCs w:val="18"/>
        </w:rPr>
        <w:t>taxable income produced on an annual basis, inconsistent after</w:t>
      </w:r>
      <w:r w:rsidR="00EC7FCE" w:rsidRPr="000B1BB2">
        <w:rPr>
          <w:rFonts w:ascii="Arial" w:hAnsi="Arial" w:cs="Arial"/>
          <w:sz w:val="18"/>
          <w:szCs w:val="18"/>
        </w:rPr>
        <w:t>-</w:t>
      </w:r>
      <w:r w:rsidRPr="000B1BB2">
        <w:rPr>
          <w:rFonts w:ascii="Arial" w:hAnsi="Arial" w:cs="Arial"/>
          <w:sz w:val="18"/>
          <w:szCs w:val="18"/>
        </w:rPr>
        <w:t xml:space="preserve">tax </w:t>
      </w:r>
      <w:r w:rsidR="00EC7FCE" w:rsidRPr="000B1BB2">
        <w:rPr>
          <w:rFonts w:ascii="Arial" w:hAnsi="Arial" w:cs="Arial"/>
          <w:sz w:val="18"/>
          <w:szCs w:val="18"/>
        </w:rPr>
        <w:t xml:space="preserve">return </w:t>
      </w:r>
      <w:r w:rsidRPr="000B1BB2">
        <w:rPr>
          <w:rFonts w:ascii="Arial" w:hAnsi="Arial" w:cs="Arial"/>
          <w:sz w:val="18"/>
          <w:szCs w:val="18"/>
        </w:rPr>
        <w:t xml:space="preserve">characteristics and the </w:t>
      </w:r>
      <w:r w:rsidR="00EC7FCE" w:rsidRPr="000B1BB2">
        <w:rPr>
          <w:rFonts w:ascii="Arial" w:hAnsi="Arial" w:cs="Arial"/>
          <w:sz w:val="18"/>
          <w:szCs w:val="18"/>
        </w:rPr>
        <w:t xml:space="preserve">inability for an investment bond to </w:t>
      </w:r>
      <w:r w:rsidR="008D492D">
        <w:rPr>
          <w:rFonts w:ascii="Arial" w:hAnsi="Arial" w:cs="Arial"/>
          <w:sz w:val="18"/>
          <w:szCs w:val="18"/>
        </w:rPr>
        <w:t xml:space="preserve">utilise </w:t>
      </w:r>
      <w:r w:rsidR="00EC7FCE" w:rsidRPr="000B1BB2">
        <w:rPr>
          <w:rFonts w:ascii="Arial" w:hAnsi="Arial" w:cs="Arial"/>
          <w:sz w:val="18"/>
          <w:szCs w:val="18"/>
        </w:rPr>
        <w:t xml:space="preserve">fully </w:t>
      </w:r>
      <w:r w:rsidRPr="000B1BB2">
        <w:rPr>
          <w:rFonts w:ascii="Arial" w:hAnsi="Arial" w:cs="Arial"/>
          <w:sz w:val="18"/>
          <w:szCs w:val="18"/>
        </w:rPr>
        <w:t>frank</w:t>
      </w:r>
      <w:r w:rsidR="008D492D">
        <w:rPr>
          <w:rFonts w:ascii="Arial" w:hAnsi="Arial" w:cs="Arial"/>
          <w:sz w:val="18"/>
          <w:szCs w:val="18"/>
        </w:rPr>
        <w:t>ed</w:t>
      </w:r>
      <w:r w:rsidRPr="000B1BB2">
        <w:rPr>
          <w:rFonts w:ascii="Arial" w:hAnsi="Arial" w:cs="Arial"/>
          <w:sz w:val="18"/>
          <w:szCs w:val="18"/>
        </w:rPr>
        <w:t xml:space="preserve"> credits due to </w:t>
      </w:r>
      <w:r w:rsidR="00EC7FCE" w:rsidRPr="000B1BB2">
        <w:rPr>
          <w:rFonts w:ascii="Arial" w:hAnsi="Arial" w:cs="Arial"/>
          <w:sz w:val="18"/>
          <w:szCs w:val="18"/>
        </w:rPr>
        <w:t xml:space="preserve">the Attribution Managed Investment Trust (AMIT) regime, </w:t>
      </w:r>
      <w:r w:rsidR="008D492D">
        <w:rPr>
          <w:rFonts w:ascii="Arial" w:hAnsi="Arial" w:cs="Arial"/>
          <w:sz w:val="18"/>
          <w:szCs w:val="18"/>
        </w:rPr>
        <w:t>G</w:t>
      </w:r>
      <w:r w:rsidR="00EC7FCE" w:rsidRPr="000B1BB2">
        <w:rPr>
          <w:rFonts w:ascii="Arial" w:hAnsi="Arial" w:cs="Arial"/>
          <w:sz w:val="18"/>
          <w:szCs w:val="18"/>
        </w:rPr>
        <w:t xml:space="preserve">eneration Life believes the sector </w:t>
      </w:r>
      <w:r w:rsidRPr="000B1BB2">
        <w:rPr>
          <w:rFonts w:ascii="Arial" w:hAnsi="Arial" w:cs="Arial"/>
          <w:sz w:val="18"/>
          <w:szCs w:val="18"/>
        </w:rPr>
        <w:t>has limited potential to meet the after</w:t>
      </w:r>
      <w:r w:rsidR="00291071">
        <w:rPr>
          <w:rFonts w:ascii="Arial" w:hAnsi="Arial" w:cs="Arial"/>
          <w:sz w:val="18"/>
          <w:szCs w:val="18"/>
        </w:rPr>
        <w:t>-</w:t>
      </w:r>
      <w:r w:rsidRPr="000B1BB2">
        <w:rPr>
          <w:rFonts w:ascii="Arial" w:hAnsi="Arial" w:cs="Arial"/>
          <w:sz w:val="18"/>
          <w:szCs w:val="18"/>
        </w:rPr>
        <w:t>tax investment objective expectations of investors over the medium-long term.</w:t>
      </w:r>
      <w:r w:rsidR="00422A2F" w:rsidRPr="000B1BB2">
        <w:rPr>
          <w:rFonts w:ascii="Arial" w:hAnsi="Arial" w:cs="Arial"/>
          <w:sz w:val="18"/>
          <w:szCs w:val="18"/>
        </w:rPr>
        <w:t xml:space="preserve"> </w:t>
      </w:r>
      <w:r w:rsidR="00EC7FCE" w:rsidRPr="000B1BB2">
        <w:rPr>
          <w:rFonts w:ascii="Arial" w:hAnsi="Arial" w:cs="Arial"/>
          <w:sz w:val="18"/>
          <w:szCs w:val="18"/>
        </w:rPr>
        <w:t>In addition, the Firetrail Absolute Return Fund</w:t>
      </w:r>
      <w:r w:rsidR="00EC7FCE" w:rsidRPr="000B1BB2" w:rsidDel="003D1DDC">
        <w:rPr>
          <w:rFonts w:ascii="Arial" w:hAnsi="Arial" w:cs="Arial"/>
          <w:sz w:val="18"/>
          <w:szCs w:val="18"/>
        </w:rPr>
        <w:t xml:space="preserve"> </w:t>
      </w:r>
      <w:r w:rsidR="00EC7FCE" w:rsidRPr="000B1BB2">
        <w:rPr>
          <w:rFonts w:ascii="Arial" w:hAnsi="Arial" w:cs="Arial"/>
          <w:sz w:val="18"/>
          <w:szCs w:val="18"/>
        </w:rPr>
        <w:t xml:space="preserve">has </w:t>
      </w:r>
      <w:r w:rsidR="00F3207D" w:rsidRPr="000B1BB2">
        <w:rPr>
          <w:rFonts w:ascii="Arial" w:hAnsi="Arial" w:cs="Arial"/>
          <w:sz w:val="18"/>
          <w:szCs w:val="18"/>
        </w:rPr>
        <w:t xml:space="preserve">experienced a reduction of funds under management and </w:t>
      </w:r>
      <w:r w:rsidRPr="000B1BB2">
        <w:rPr>
          <w:rFonts w:ascii="Arial" w:hAnsi="Arial" w:cs="Arial"/>
          <w:sz w:val="18"/>
          <w:szCs w:val="18"/>
        </w:rPr>
        <w:t>turnover</w:t>
      </w:r>
      <w:r w:rsidR="00F3207D" w:rsidRPr="000B1BB2">
        <w:rPr>
          <w:rFonts w:ascii="Arial" w:hAnsi="Arial" w:cs="Arial"/>
          <w:sz w:val="18"/>
          <w:szCs w:val="18"/>
        </w:rPr>
        <w:t xml:space="preserve"> of key investment person</w:t>
      </w:r>
      <w:r w:rsidR="008D492D">
        <w:rPr>
          <w:rFonts w:ascii="Arial" w:hAnsi="Arial" w:cs="Arial"/>
          <w:sz w:val="18"/>
          <w:szCs w:val="18"/>
        </w:rPr>
        <w:t>ne</w:t>
      </w:r>
      <w:r w:rsidR="00F3207D" w:rsidRPr="000B1BB2">
        <w:rPr>
          <w:rFonts w:ascii="Arial" w:hAnsi="Arial" w:cs="Arial"/>
          <w:sz w:val="18"/>
          <w:szCs w:val="18"/>
        </w:rPr>
        <w:t>l.</w:t>
      </w:r>
    </w:p>
    <w:p w14:paraId="47629720" w14:textId="736A2AC1" w:rsidR="00EC7FCE" w:rsidRPr="000B1BB2" w:rsidRDefault="00422A2F" w:rsidP="00EC7FCE">
      <w:pPr>
        <w:ind w:right="-75"/>
        <w:rPr>
          <w:rFonts w:ascii="Arial" w:hAnsi="Arial" w:cs="Arial"/>
          <w:sz w:val="18"/>
          <w:szCs w:val="18"/>
        </w:rPr>
      </w:pPr>
      <w:r w:rsidRPr="000B1BB2">
        <w:rPr>
          <w:rFonts w:ascii="Arial" w:hAnsi="Arial" w:cs="Arial"/>
          <w:sz w:val="18"/>
          <w:szCs w:val="18"/>
        </w:rPr>
        <w:t xml:space="preserve">Generation Life </w:t>
      </w:r>
      <w:r w:rsidR="008125B6" w:rsidRPr="000B1BB2">
        <w:rPr>
          <w:rFonts w:ascii="Arial" w:hAnsi="Arial" w:cs="Arial"/>
          <w:sz w:val="18"/>
          <w:szCs w:val="18"/>
        </w:rPr>
        <w:t xml:space="preserve">considered </w:t>
      </w:r>
      <w:r w:rsidRPr="000B1BB2">
        <w:rPr>
          <w:rFonts w:ascii="Arial" w:hAnsi="Arial" w:cs="Arial"/>
          <w:sz w:val="18"/>
          <w:szCs w:val="18"/>
        </w:rPr>
        <w:t xml:space="preserve">the position of the </w:t>
      </w:r>
      <w:r w:rsidR="00EC7FCE" w:rsidRPr="000B1BB2">
        <w:rPr>
          <w:rFonts w:ascii="Arial" w:hAnsi="Arial" w:cs="Arial"/>
          <w:sz w:val="18"/>
          <w:szCs w:val="18"/>
        </w:rPr>
        <w:t>Firetrail Absolute Return Fund</w:t>
      </w:r>
      <w:r w:rsidR="00EC7FCE" w:rsidRPr="000B1BB2" w:rsidDel="003D1DDC">
        <w:rPr>
          <w:rFonts w:ascii="Arial" w:hAnsi="Arial" w:cs="Arial"/>
          <w:sz w:val="18"/>
          <w:szCs w:val="18"/>
        </w:rPr>
        <w:t xml:space="preserve"> </w:t>
      </w:r>
      <w:r w:rsidRPr="000B1BB2">
        <w:rPr>
          <w:rFonts w:ascii="Arial" w:hAnsi="Arial" w:cs="Arial"/>
          <w:sz w:val="18"/>
          <w:szCs w:val="18"/>
        </w:rPr>
        <w:t xml:space="preserve">and </w:t>
      </w:r>
      <w:r w:rsidR="008D492D">
        <w:rPr>
          <w:rFonts w:ascii="Arial" w:hAnsi="Arial" w:cs="Arial"/>
          <w:sz w:val="18"/>
          <w:szCs w:val="18"/>
        </w:rPr>
        <w:t xml:space="preserve">will </w:t>
      </w:r>
      <w:r w:rsidR="00EC7FCE" w:rsidRPr="000B1BB2">
        <w:rPr>
          <w:rFonts w:ascii="Arial" w:hAnsi="Arial" w:cs="Arial"/>
          <w:sz w:val="18"/>
          <w:szCs w:val="18"/>
        </w:rPr>
        <w:t xml:space="preserve">replace </w:t>
      </w:r>
      <w:r w:rsidR="00F16047" w:rsidRPr="000B1BB2">
        <w:rPr>
          <w:rFonts w:ascii="Arial" w:hAnsi="Arial" w:cs="Arial"/>
          <w:sz w:val="18"/>
          <w:szCs w:val="18"/>
        </w:rPr>
        <w:t xml:space="preserve">the strategy with </w:t>
      </w:r>
      <w:r w:rsidR="00EC7FCE" w:rsidRPr="000B1BB2">
        <w:rPr>
          <w:rFonts w:ascii="Arial" w:hAnsi="Arial" w:cs="Arial"/>
          <w:sz w:val="18"/>
          <w:szCs w:val="18"/>
        </w:rPr>
        <w:t xml:space="preserve">the L1 Capital Long Short Fund, which </w:t>
      </w:r>
      <w:r w:rsidRPr="000B1BB2">
        <w:rPr>
          <w:rFonts w:ascii="Arial" w:hAnsi="Arial" w:cs="Arial"/>
          <w:sz w:val="18"/>
          <w:szCs w:val="18"/>
        </w:rPr>
        <w:t xml:space="preserve">it believes </w:t>
      </w:r>
      <w:r w:rsidR="008D492D">
        <w:rPr>
          <w:rFonts w:ascii="Arial" w:hAnsi="Arial" w:cs="Arial"/>
          <w:sz w:val="18"/>
          <w:szCs w:val="18"/>
        </w:rPr>
        <w:t xml:space="preserve">should </w:t>
      </w:r>
      <w:r w:rsidR="007B3CBB" w:rsidRPr="000B1BB2">
        <w:rPr>
          <w:rFonts w:ascii="Arial" w:hAnsi="Arial" w:cs="Arial"/>
          <w:sz w:val="18"/>
          <w:szCs w:val="18"/>
        </w:rPr>
        <w:t xml:space="preserve">more likely meet </w:t>
      </w:r>
      <w:r w:rsidR="00EC7FCE" w:rsidRPr="000B1BB2">
        <w:rPr>
          <w:rFonts w:ascii="Arial" w:hAnsi="Arial" w:cs="Arial"/>
          <w:sz w:val="18"/>
          <w:szCs w:val="18"/>
        </w:rPr>
        <w:t>the after</w:t>
      </w:r>
      <w:r w:rsidR="00291071">
        <w:rPr>
          <w:rFonts w:ascii="Arial" w:hAnsi="Arial" w:cs="Arial"/>
          <w:sz w:val="18"/>
          <w:szCs w:val="18"/>
        </w:rPr>
        <w:t>-</w:t>
      </w:r>
      <w:r w:rsidR="00EC7FCE" w:rsidRPr="000B1BB2">
        <w:rPr>
          <w:rFonts w:ascii="Arial" w:hAnsi="Arial" w:cs="Arial"/>
          <w:sz w:val="18"/>
          <w:szCs w:val="18"/>
        </w:rPr>
        <w:t xml:space="preserve">tax </w:t>
      </w:r>
      <w:r w:rsidR="007B3CBB" w:rsidRPr="000B1BB2">
        <w:rPr>
          <w:rFonts w:ascii="Arial" w:hAnsi="Arial" w:cs="Arial"/>
          <w:sz w:val="18"/>
          <w:szCs w:val="18"/>
        </w:rPr>
        <w:t xml:space="preserve">investment objectives for </w:t>
      </w:r>
      <w:r w:rsidR="00EC7FCE" w:rsidRPr="000B1BB2">
        <w:rPr>
          <w:rFonts w:ascii="Arial" w:hAnsi="Arial" w:cs="Arial"/>
          <w:sz w:val="18"/>
          <w:szCs w:val="18"/>
        </w:rPr>
        <w:t xml:space="preserve">investors </w:t>
      </w:r>
      <w:r w:rsidR="007B3CBB" w:rsidRPr="000B1BB2">
        <w:rPr>
          <w:rFonts w:ascii="Arial" w:hAnsi="Arial" w:cs="Arial"/>
          <w:sz w:val="18"/>
          <w:szCs w:val="18"/>
        </w:rPr>
        <w:t xml:space="preserve">with a five year plus </w:t>
      </w:r>
      <w:r w:rsidR="00EC7FCE" w:rsidRPr="000B1BB2">
        <w:rPr>
          <w:rFonts w:ascii="Arial" w:hAnsi="Arial" w:cs="Arial"/>
          <w:sz w:val="18"/>
          <w:szCs w:val="18"/>
        </w:rPr>
        <w:t xml:space="preserve">investment </w:t>
      </w:r>
      <w:r w:rsidR="007B3CBB" w:rsidRPr="000B1BB2">
        <w:rPr>
          <w:rFonts w:ascii="Arial" w:hAnsi="Arial" w:cs="Arial"/>
          <w:sz w:val="18"/>
          <w:szCs w:val="18"/>
        </w:rPr>
        <w:t>time</w:t>
      </w:r>
      <w:r w:rsidR="00EC7FCE" w:rsidRPr="000B1BB2">
        <w:rPr>
          <w:rFonts w:ascii="Arial" w:hAnsi="Arial" w:cs="Arial"/>
          <w:sz w:val="18"/>
          <w:szCs w:val="18"/>
        </w:rPr>
        <w:t xml:space="preserve"> horizon</w:t>
      </w:r>
      <w:r w:rsidR="007B3CBB" w:rsidRPr="000B1BB2">
        <w:rPr>
          <w:rFonts w:ascii="Arial" w:hAnsi="Arial" w:cs="Arial"/>
          <w:sz w:val="18"/>
          <w:szCs w:val="18"/>
        </w:rPr>
        <w:t>.</w:t>
      </w:r>
    </w:p>
    <w:p w14:paraId="2F1BBE7D" w14:textId="768445F8" w:rsidR="00872C58" w:rsidRPr="000B1BB2" w:rsidRDefault="00EC7FCE" w:rsidP="005A784D">
      <w:pPr>
        <w:ind w:right="-75"/>
        <w:rPr>
          <w:rFonts w:ascii="Arial" w:hAnsi="Arial" w:cs="Arial"/>
          <w:sz w:val="18"/>
          <w:szCs w:val="18"/>
        </w:rPr>
      </w:pPr>
      <w:r w:rsidRPr="000B1BB2">
        <w:rPr>
          <w:rFonts w:ascii="Arial" w:hAnsi="Arial" w:cs="Arial"/>
          <w:sz w:val="18"/>
          <w:szCs w:val="18"/>
        </w:rPr>
        <w:t xml:space="preserve">L1 Capital Long Short </w:t>
      </w:r>
      <w:r w:rsidRPr="000B1BB2">
        <w:rPr>
          <w:rFonts w:ascii="Helvetica Nueu" w:hAnsi="Helvetica Nueu"/>
          <w:sz w:val="18"/>
          <w:szCs w:val="18"/>
        </w:rPr>
        <w:t>Fund</w:t>
      </w:r>
      <w:r w:rsidR="007B3CBB" w:rsidRPr="000B1BB2">
        <w:rPr>
          <w:rFonts w:ascii="Helvetica Nueu" w:hAnsi="Helvetica Nueu"/>
          <w:sz w:val="18"/>
          <w:szCs w:val="18"/>
        </w:rPr>
        <w:t xml:space="preserve"> will utilise </w:t>
      </w:r>
      <w:r w:rsidR="007B3CBB" w:rsidRPr="000B1BB2">
        <w:rPr>
          <w:rFonts w:ascii="Arial" w:hAnsi="Arial" w:cs="Arial"/>
          <w:sz w:val="18"/>
          <w:szCs w:val="18"/>
        </w:rPr>
        <w:t xml:space="preserve">its ability to alter net exposure to the equity market </w:t>
      </w:r>
      <w:proofErr w:type="gramStart"/>
      <w:r w:rsidR="007B3CBB" w:rsidRPr="000B1BB2">
        <w:rPr>
          <w:rFonts w:ascii="Arial" w:hAnsi="Arial" w:cs="Arial"/>
          <w:sz w:val="18"/>
          <w:szCs w:val="18"/>
        </w:rPr>
        <w:t>through the use of</w:t>
      </w:r>
      <w:proofErr w:type="gramEnd"/>
      <w:r w:rsidR="007B3CBB" w:rsidRPr="000B1BB2">
        <w:rPr>
          <w:rFonts w:ascii="Arial" w:hAnsi="Arial" w:cs="Arial"/>
          <w:sz w:val="18"/>
          <w:szCs w:val="18"/>
        </w:rPr>
        <w:t xml:space="preserve"> shorting while adding value through bottom</w:t>
      </w:r>
      <w:r w:rsidR="00291071">
        <w:rPr>
          <w:rFonts w:ascii="Arial" w:hAnsi="Arial" w:cs="Arial"/>
          <w:sz w:val="18"/>
          <w:szCs w:val="18"/>
        </w:rPr>
        <w:t>-</w:t>
      </w:r>
      <w:r w:rsidR="007B3CBB" w:rsidRPr="000B1BB2">
        <w:rPr>
          <w:rFonts w:ascii="Arial" w:hAnsi="Arial" w:cs="Arial"/>
          <w:sz w:val="18"/>
          <w:szCs w:val="18"/>
        </w:rPr>
        <w:t xml:space="preserve">up stock selection to add value in </w:t>
      </w:r>
      <w:r w:rsidR="008E2FEA" w:rsidRPr="000B1BB2">
        <w:rPr>
          <w:rFonts w:ascii="Arial" w:hAnsi="Arial" w:cs="Arial"/>
          <w:sz w:val="18"/>
          <w:szCs w:val="18"/>
        </w:rPr>
        <w:t xml:space="preserve">both </w:t>
      </w:r>
      <w:r w:rsidR="007B3CBB" w:rsidRPr="000B1BB2">
        <w:rPr>
          <w:rFonts w:ascii="Arial" w:hAnsi="Arial" w:cs="Arial"/>
          <w:sz w:val="18"/>
          <w:szCs w:val="18"/>
        </w:rPr>
        <w:t xml:space="preserve">up and down equity markets. This can potentially provide a portfolio with different return characteristics to a traditional equity portfolio </w:t>
      </w:r>
      <w:r w:rsidR="007F5E73" w:rsidRPr="000B1BB2">
        <w:rPr>
          <w:rFonts w:ascii="Arial" w:hAnsi="Arial" w:cs="Arial"/>
          <w:sz w:val="18"/>
          <w:szCs w:val="18"/>
        </w:rPr>
        <w:t xml:space="preserve">in a more tax efficient </w:t>
      </w:r>
      <w:r w:rsidR="008E2FEA" w:rsidRPr="000B1BB2">
        <w:rPr>
          <w:rFonts w:ascii="Arial" w:hAnsi="Arial" w:cs="Arial"/>
          <w:sz w:val="18"/>
          <w:szCs w:val="18"/>
        </w:rPr>
        <w:t xml:space="preserve">manner when compared to other </w:t>
      </w:r>
      <w:r w:rsidR="008D492D">
        <w:rPr>
          <w:rFonts w:ascii="Arial" w:hAnsi="Arial" w:cs="Arial"/>
          <w:sz w:val="18"/>
          <w:szCs w:val="18"/>
        </w:rPr>
        <w:t>a</w:t>
      </w:r>
      <w:r w:rsidR="008E2FEA" w:rsidRPr="000B1BB2">
        <w:rPr>
          <w:rFonts w:ascii="Arial" w:hAnsi="Arial" w:cs="Arial"/>
          <w:sz w:val="18"/>
          <w:szCs w:val="18"/>
        </w:rPr>
        <w:t>lternative sector strategies.</w:t>
      </w:r>
      <w:r w:rsidR="007F5E73" w:rsidRPr="000B1BB2">
        <w:rPr>
          <w:rFonts w:ascii="Arial" w:hAnsi="Arial" w:cs="Arial"/>
          <w:sz w:val="18"/>
          <w:szCs w:val="18"/>
        </w:rPr>
        <w:t xml:space="preserve"> L1</w:t>
      </w:r>
      <w:r w:rsidR="008D492D">
        <w:rPr>
          <w:rFonts w:ascii="Arial" w:hAnsi="Arial" w:cs="Arial"/>
          <w:sz w:val="18"/>
          <w:szCs w:val="18"/>
        </w:rPr>
        <w:t xml:space="preserve"> </w:t>
      </w:r>
      <w:r w:rsidR="007F5E73" w:rsidRPr="000B1BB2">
        <w:rPr>
          <w:rFonts w:ascii="Arial" w:hAnsi="Arial" w:cs="Arial"/>
          <w:sz w:val="18"/>
          <w:szCs w:val="18"/>
        </w:rPr>
        <w:t xml:space="preserve">Capital </w:t>
      </w:r>
      <w:r w:rsidR="008E2FEA" w:rsidRPr="000B1BB2">
        <w:rPr>
          <w:rFonts w:ascii="Arial" w:hAnsi="Arial" w:cs="Arial"/>
          <w:sz w:val="18"/>
          <w:szCs w:val="18"/>
        </w:rPr>
        <w:t xml:space="preserve">Pty Ltd </w:t>
      </w:r>
      <w:r w:rsidR="007F5E73" w:rsidRPr="000B1BB2">
        <w:rPr>
          <w:rFonts w:ascii="Arial" w:hAnsi="Arial" w:cs="Arial"/>
          <w:sz w:val="18"/>
          <w:szCs w:val="18"/>
        </w:rPr>
        <w:t xml:space="preserve">is </w:t>
      </w:r>
      <w:r w:rsidR="008E2FEA" w:rsidRPr="000B1BB2">
        <w:rPr>
          <w:rFonts w:ascii="Arial" w:hAnsi="Arial" w:cs="Arial"/>
          <w:sz w:val="18"/>
          <w:szCs w:val="18"/>
        </w:rPr>
        <w:t xml:space="preserve">the manager of the new strategy and has </w:t>
      </w:r>
      <w:r w:rsidR="007F5E73" w:rsidRPr="000B1BB2">
        <w:rPr>
          <w:rFonts w:ascii="Arial" w:hAnsi="Arial" w:cs="Arial"/>
          <w:sz w:val="18"/>
          <w:szCs w:val="18"/>
        </w:rPr>
        <w:t xml:space="preserve">a </w:t>
      </w:r>
      <w:r w:rsidR="008E2FEA" w:rsidRPr="000B1BB2">
        <w:rPr>
          <w:rFonts w:ascii="Arial" w:hAnsi="Arial" w:cs="Arial"/>
          <w:sz w:val="18"/>
          <w:szCs w:val="18"/>
        </w:rPr>
        <w:t xml:space="preserve">long </w:t>
      </w:r>
      <w:r w:rsidR="007F5E73" w:rsidRPr="000B1BB2">
        <w:rPr>
          <w:rFonts w:ascii="Arial" w:hAnsi="Arial" w:cs="Arial"/>
          <w:sz w:val="18"/>
          <w:szCs w:val="18"/>
        </w:rPr>
        <w:t>track record of adding value in different market environments</w:t>
      </w:r>
      <w:r w:rsidR="008E2FEA" w:rsidRPr="000B1BB2">
        <w:rPr>
          <w:rFonts w:ascii="Arial" w:hAnsi="Arial" w:cs="Arial"/>
          <w:sz w:val="18"/>
          <w:szCs w:val="18"/>
        </w:rPr>
        <w:t xml:space="preserve">, with the strategy now operating for over 10 </w:t>
      </w:r>
      <w:r w:rsidR="007F5E73" w:rsidRPr="000B1BB2">
        <w:rPr>
          <w:rFonts w:ascii="Arial" w:hAnsi="Arial" w:cs="Arial"/>
          <w:sz w:val="18"/>
          <w:szCs w:val="18"/>
        </w:rPr>
        <w:t>years.</w:t>
      </w:r>
    </w:p>
    <w:p w14:paraId="6012188E" w14:textId="77777777" w:rsidR="006B3691" w:rsidRPr="000B1BB2" w:rsidRDefault="006B3691">
      <w:pPr>
        <w:spacing w:after="0" w:line="240" w:lineRule="auto"/>
        <w:rPr>
          <w:rFonts w:ascii="Arial" w:hAnsi="Arial" w:cs="Arial"/>
          <w:b/>
          <w:bCs/>
          <w:color w:val="2B41B1"/>
          <w:sz w:val="18"/>
          <w:szCs w:val="18"/>
        </w:rPr>
      </w:pPr>
      <w:r w:rsidRPr="000B1BB2">
        <w:rPr>
          <w:rFonts w:ascii="Arial" w:hAnsi="Arial" w:cs="Arial"/>
          <w:b/>
          <w:bCs/>
          <w:color w:val="2B41B1"/>
          <w:sz w:val="18"/>
          <w:szCs w:val="18"/>
        </w:rPr>
        <w:br w:type="page"/>
      </w:r>
    </w:p>
    <w:p w14:paraId="6A2C1FD5" w14:textId="69E70E07" w:rsidR="00B538D1" w:rsidRPr="000B1BB2" w:rsidRDefault="00E27E5D" w:rsidP="00E27E5D">
      <w:pPr>
        <w:ind w:right="-75"/>
        <w:rPr>
          <w:rFonts w:ascii="Arial" w:hAnsi="Arial" w:cs="Arial"/>
          <w:b/>
          <w:bCs/>
          <w:color w:val="2B41B1"/>
          <w:sz w:val="18"/>
          <w:szCs w:val="18"/>
        </w:rPr>
      </w:pPr>
      <w:r w:rsidRPr="000B1BB2">
        <w:rPr>
          <w:rFonts w:ascii="Arial" w:hAnsi="Arial" w:cs="Arial"/>
          <w:b/>
          <w:bCs/>
          <w:color w:val="2B41B1"/>
          <w:sz w:val="18"/>
          <w:szCs w:val="18"/>
        </w:rPr>
        <w:lastRenderedPageBreak/>
        <w:t>COMPARISON OF STRATEGIES</w:t>
      </w:r>
    </w:p>
    <w:tbl>
      <w:tblPr>
        <w:tblStyle w:val="TableGrid"/>
        <w:tblW w:w="10206" w:type="dxa"/>
        <w:tblBorders>
          <w:top w:val="none" w:sz="0" w:space="0" w:color="auto"/>
          <w:left w:val="none" w:sz="0" w:space="0" w:color="auto"/>
          <w:bottom w:val="none" w:sz="0" w:space="0" w:color="auto"/>
          <w:right w:val="none" w:sz="0" w:space="0" w:color="auto"/>
          <w:insideH w:val="single" w:sz="2" w:space="0" w:color="A3A3A3"/>
          <w:insideV w:val="none" w:sz="0" w:space="0" w:color="auto"/>
        </w:tblBorders>
        <w:tblCellMar>
          <w:top w:w="85" w:type="dxa"/>
          <w:left w:w="0" w:type="dxa"/>
          <w:bottom w:w="85" w:type="dxa"/>
        </w:tblCellMar>
        <w:tblLook w:val="04A0" w:firstRow="1" w:lastRow="0" w:firstColumn="1" w:lastColumn="0" w:noHBand="0" w:noVBand="1"/>
      </w:tblPr>
      <w:tblGrid>
        <w:gridCol w:w="2410"/>
        <w:gridCol w:w="3898"/>
        <w:gridCol w:w="3898"/>
      </w:tblGrid>
      <w:tr w:rsidR="004C3440" w:rsidRPr="008D492D" w14:paraId="3D437B3A" w14:textId="77777777" w:rsidTr="00965114">
        <w:trPr>
          <w:cantSplit/>
          <w:trHeight w:val="308"/>
          <w:tblHeader/>
        </w:trPr>
        <w:tc>
          <w:tcPr>
            <w:tcW w:w="2410" w:type="dxa"/>
            <w:tcBorders>
              <w:top w:val="single" w:sz="2" w:space="0" w:color="A3A3A3"/>
              <w:bottom w:val="single" w:sz="2" w:space="0" w:color="A3A3A3"/>
            </w:tcBorders>
          </w:tcPr>
          <w:p w14:paraId="317DF2DF" w14:textId="0E75116D" w:rsidR="001E42FE" w:rsidRPr="000B1BB2" w:rsidRDefault="001E42FE" w:rsidP="009479DE">
            <w:pPr>
              <w:pStyle w:val="TableHeading"/>
              <w:spacing w:line="240" w:lineRule="auto"/>
              <w:rPr>
                <w:rFonts w:ascii="Arial" w:hAnsi="Arial" w:cs="Arial"/>
                <w:b/>
                <w:bCs/>
                <w:color w:val="auto"/>
                <w:sz w:val="18"/>
                <w:szCs w:val="18"/>
              </w:rPr>
            </w:pPr>
          </w:p>
        </w:tc>
        <w:tc>
          <w:tcPr>
            <w:tcW w:w="3898" w:type="dxa"/>
            <w:tcBorders>
              <w:top w:val="single" w:sz="2" w:space="0" w:color="A3A3A3"/>
              <w:bottom w:val="single" w:sz="2" w:space="0" w:color="A3A3A3"/>
            </w:tcBorders>
            <w:shd w:val="clear" w:color="auto" w:fill="auto"/>
          </w:tcPr>
          <w:p w14:paraId="47DB3226" w14:textId="474B3953" w:rsidR="001E42FE" w:rsidRPr="000B1BB2" w:rsidRDefault="0066600D" w:rsidP="009479DE">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 xml:space="preserve">Firetrail Absolute Return Fund </w:t>
            </w:r>
            <w:r w:rsidR="001E42FE" w:rsidRPr="000B1BB2">
              <w:rPr>
                <w:rFonts w:ascii="Arial" w:hAnsi="Arial" w:cs="Arial"/>
                <w:b/>
                <w:bCs/>
                <w:color w:val="auto"/>
                <w:sz w:val="18"/>
                <w:szCs w:val="18"/>
              </w:rPr>
              <w:t>(</w:t>
            </w:r>
            <w:r w:rsidR="003D1DDC" w:rsidRPr="000B1BB2">
              <w:rPr>
                <w:rFonts w:ascii="Arial" w:hAnsi="Arial" w:cs="Arial"/>
                <w:b/>
                <w:bCs/>
                <w:color w:val="auto"/>
                <w:sz w:val="18"/>
                <w:szCs w:val="18"/>
              </w:rPr>
              <w:t>OLD</w:t>
            </w:r>
            <w:r w:rsidR="001E42FE" w:rsidRPr="000B1BB2">
              <w:rPr>
                <w:rFonts w:ascii="Arial" w:hAnsi="Arial" w:cs="Arial"/>
                <w:b/>
                <w:bCs/>
                <w:color w:val="auto"/>
                <w:sz w:val="18"/>
                <w:szCs w:val="18"/>
              </w:rPr>
              <w:t>)</w:t>
            </w:r>
          </w:p>
        </w:tc>
        <w:tc>
          <w:tcPr>
            <w:tcW w:w="3898" w:type="dxa"/>
            <w:tcBorders>
              <w:top w:val="single" w:sz="2" w:space="0" w:color="A3A3A3"/>
              <w:bottom w:val="single" w:sz="2" w:space="0" w:color="A3A3A3"/>
            </w:tcBorders>
            <w:shd w:val="clear" w:color="auto" w:fill="auto"/>
          </w:tcPr>
          <w:p w14:paraId="3F1FAD2D" w14:textId="3D3AD502" w:rsidR="001E42FE" w:rsidRPr="000B1BB2" w:rsidRDefault="0066600D" w:rsidP="009479DE">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 xml:space="preserve">L1 Capital Long Short Fund </w:t>
            </w:r>
            <w:r w:rsidR="001E42FE" w:rsidRPr="000B1BB2">
              <w:rPr>
                <w:rFonts w:ascii="Arial" w:hAnsi="Arial" w:cs="Arial"/>
                <w:b/>
                <w:bCs/>
                <w:color w:val="auto"/>
                <w:sz w:val="18"/>
                <w:szCs w:val="18"/>
              </w:rPr>
              <w:t>(NEW)</w:t>
            </w:r>
          </w:p>
        </w:tc>
      </w:tr>
      <w:tr w:rsidR="004C3440" w:rsidRPr="008D492D" w14:paraId="10AD6584" w14:textId="77777777" w:rsidTr="00EB612D">
        <w:trPr>
          <w:cantSplit/>
          <w:trHeight w:val="308"/>
        </w:trPr>
        <w:tc>
          <w:tcPr>
            <w:tcW w:w="2410" w:type="dxa"/>
            <w:tcBorders>
              <w:top w:val="single" w:sz="2" w:space="0" w:color="A3A3A3"/>
              <w:bottom w:val="single" w:sz="2" w:space="0" w:color="A3A3A3"/>
            </w:tcBorders>
          </w:tcPr>
          <w:p w14:paraId="13430C18" w14:textId="54935463" w:rsidR="003A00AF" w:rsidRPr="000B1BB2" w:rsidRDefault="003A00AF" w:rsidP="009479DE">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Underlying strategy APIR code</w:t>
            </w:r>
          </w:p>
        </w:tc>
        <w:tc>
          <w:tcPr>
            <w:tcW w:w="3898" w:type="dxa"/>
            <w:tcBorders>
              <w:top w:val="single" w:sz="2" w:space="0" w:color="A3A3A3"/>
              <w:bottom w:val="single" w:sz="2" w:space="0" w:color="A3A3A3"/>
            </w:tcBorders>
            <w:shd w:val="clear" w:color="auto" w:fill="auto"/>
          </w:tcPr>
          <w:p w14:paraId="0E33B396" w14:textId="150A8159" w:rsidR="003A00AF" w:rsidRPr="000B1BB2" w:rsidRDefault="0066600D" w:rsidP="009479DE">
            <w:pPr>
              <w:pStyle w:val="TableHeading2"/>
              <w:spacing w:line="240" w:lineRule="auto"/>
              <w:rPr>
                <w:rFonts w:ascii="Arial" w:hAnsi="Arial" w:cs="Arial"/>
                <w:color w:val="auto"/>
                <w:sz w:val="18"/>
                <w:szCs w:val="18"/>
              </w:rPr>
            </w:pPr>
            <w:r w:rsidRPr="000B1BB2">
              <w:rPr>
                <w:rFonts w:ascii="Arial" w:hAnsi="Arial" w:cs="Arial"/>
                <w:color w:val="auto"/>
                <w:sz w:val="18"/>
                <w:szCs w:val="18"/>
              </w:rPr>
              <w:t>WHT5134AU</w:t>
            </w:r>
          </w:p>
        </w:tc>
        <w:tc>
          <w:tcPr>
            <w:tcW w:w="3898" w:type="dxa"/>
            <w:tcBorders>
              <w:top w:val="single" w:sz="2" w:space="0" w:color="A3A3A3"/>
              <w:bottom w:val="single" w:sz="2" w:space="0" w:color="A3A3A3"/>
            </w:tcBorders>
            <w:shd w:val="clear" w:color="auto" w:fill="auto"/>
          </w:tcPr>
          <w:p w14:paraId="707D442D" w14:textId="2B1F48E4" w:rsidR="003A00AF" w:rsidRPr="000B1BB2" w:rsidRDefault="00446636" w:rsidP="009479DE">
            <w:pPr>
              <w:pStyle w:val="TableHeading2"/>
              <w:spacing w:line="240" w:lineRule="auto"/>
              <w:rPr>
                <w:rFonts w:ascii="Arial" w:hAnsi="Arial" w:cs="Arial"/>
                <w:color w:val="auto"/>
                <w:sz w:val="18"/>
                <w:szCs w:val="18"/>
              </w:rPr>
            </w:pPr>
            <w:r w:rsidRPr="000B1BB2">
              <w:rPr>
                <w:rFonts w:ascii="Arial" w:hAnsi="Arial" w:cs="Arial"/>
                <w:color w:val="auto"/>
                <w:sz w:val="18"/>
                <w:szCs w:val="18"/>
              </w:rPr>
              <w:t>ETL0490AU</w:t>
            </w:r>
          </w:p>
        </w:tc>
      </w:tr>
      <w:tr w:rsidR="004C3440" w:rsidRPr="008D492D" w14:paraId="7D1EC254" w14:textId="77777777" w:rsidTr="00EB612D">
        <w:trPr>
          <w:cantSplit/>
          <w:trHeight w:val="308"/>
        </w:trPr>
        <w:tc>
          <w:tcPr>
            <w:tcW w:w="2410" w:type="dxa"/>
            <w:tcBorders>
              <w:top w:val="single" w:sz="2" w:space="0" w:color="A3A3A3"/>
              <w:bottom w:val="single" w:sz="2" w:space="0" w:color="A3A3A3"/>
            </w:tcBorders>
          </w:tcPr>
          <w:p w14:paraId="60DB3EC7" w14:textId="6EAE048B" w:rsidR="001E42FE" w:rsidRPr="000B1BB2" w:rsidRDefault="001E42FE" w:rsidP="009479DE">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Sector</w:t>
            </w:r>
          </w:p>
        </w:tc>
        <w:tc>
          <w:tcPr>
            <w:tcW w:w="3898" w:type="dxa"/>
            <w:tcBorders>
              <w:top w:val="single" w:sz="2" w:space="0" w:color="A3A3A3"/>
              <w:bottom w:val="single" w:sz="2" w:space="0" w:color="A3A3A3"/>
            </w:tcBorders>
            <w:shd w:val="clear" w:color="auto" w:fill="auto"/>
          </w:tcPr>
          <w:p w14:paraId="560448E9" w14:textId="5A89B5CC" w:rsidR="001E42FE" w:rsidRPr="000B1BB2" w:rsidRDefault="00352066" w:rsidP="009479DE">
            <w:pPr>
              <w:pStyle w:val="TableHeading2"/>
              <w:spacing w:line="240" w:lineRule="auto"/>
              <w:rPr>
                <w:rFonts w:ascii="Arial" w:hAnsi="Arial" w:cs="Arial"/>
                <w:color w:val="auto"/>
                <w:sz w:val="18"/>
                <w:szCs w:val="18"/>
              </w:rPr>
            </w:pPr>
            <w:r w:rsidRPr="000B1BB2">
              <w:rPr>
                <w:rFonts w:ascii="Arial" w:hAnsi="Arial" w:cs="Arial"/>
                <w:color w:val="auto"/>
                <w:sz w:val="18"/>
                <w:szCs w:val="18"/>
              </w:rPr>
              <w:t>Alternatives</w:t>
            </w:r>
          </w:p>
        </w:tc>
        <w:tc>
          <w:tcPr>
            <w:tcW w:w="3898" w:type="dxa"/>
            <w:tcBorders>
              <w:top w:val="single" w:sz="2" w:space="0" w:color="A3A3A3"/>
              <w:bottom w:val="single" w:sz="2" w:space="0" w:color="A3A3A3"/>
            </w:tcBorders>
            <w:shd w:val="clear" w:color="auto" w:fill="auto"/>
          </w:tcPr>
          <w:p w14:paraId="7D6DECB4" w14:textId="36F27F73" w:rsidR="001E42FE" w:rsidRPr="000B1BB2" w:rsidRDefault="00352066" w:rsidP="009479DE">
            <w:pPr>
              <w:pStyle w:val="TableHeading2"/>
              <w:spacing w:line="240" w:lineRule="auto"/>
              <w:rPr>
                <w:rFonts w:ascii="Arial" w:hAnsi="Arial" w:cs="Arial"/>
                <w:color w:val="auto"/>
                <w:sz w:val="18"/>
                <w:szCs w:val="18"/>
              </w:rPr>
            </w:pPr>
            <w:r w:rsidRPr="000B1BB2">
              <w:rPr>
                <w:rFonts w:ascii="Arial" w:hAnsi="Arial" w:cs="Arial"/>
                <w:color w:val="auto"/>
                <w:sz w:val="18"/>
                <w:szCs w:val="18"/>
              </w:rPr>
              <w:t>Alternatives</w:t>
            </w:r>
          </w:p>
        </w:tc>
      </w:tr>
      <w:tr w:rsidR="004C3440" w:rsidRPr="008D492D" w14:paraId="38D8769D" w14:textId="77777777" w:rsidTr="00EB612D">
        <w:trPr>
          <w:cantSplit/>
          <w:trHeight w:val="308"/>
        </w:trPr>
        <w:tc>
          <w:tcPr>
            <w:tcW w:w="2410" w:type="dxa"/>
            <w:tcBorders>
              <w:top w:val="single" w:sz="2" w:space="0" w:color="A3A3A3"/>
              <w:bottom w:val="single" w:sz="2" w:space="0" w:color="A3A3A3"/>
            </w:tcBorders>
          </w:tcPr>
          <w:p w14:paraId="201203FB" w14:textId="54377289" w:rsidR="001E42FE" w:rsidRPr="000B1BB2" w:rsidRDefault="001E42FE" w:rsidP="009479DE">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Investment manager</w:t>
            </w:r>
          </w:p>
        </w:tc>
        <w:tc>
          <w:tcPr>
            <w:tcW w:w="3898" w:type="dxa"/>
            <w:tcBorders>
              <w:top w:val="single" w:sz="2" w:space="0" w:color="A3A3A3"/>
              <w:bottom w:val="single" w:sz="2" w:space="0" w:color="A3A3A3"/>
            </w:tcBorders>
            <w:shd w:val="clear" w:color="auto" w:fill="auto"/>
          </w:tcPr>
          <w:p w14:paraId="6E2F8A93" w14:textId="10104103" w:rsidR="001E42FE" w:rsidRPr="000B1BB2" w:rsidRDefault="003D64D2" w:rsidP="009479DE">
            <w:pPr>
              <w:pStyle w:val="TableHeading2"/>
              <w:spacing w:line="240" w:lineRule="auto"/>
              <w:rPr>
                <w:rFonts w:ascii="Arial" w:hAnsi="Arial" w:cs="Arial"/>
                <w:color w:val="auto"/>
                <w:sz w:val="18"/>
                <w:szCs w:val="18"/>
              </w:rPr>
            </w:pPr>
            <w:r w:rsidRPr="000B1BB2">
              <w:rPr>
                <w:rFonts w:ascii="Arial" w:hAnsi="Arial" w:cs="Arial"/>
                <w:color w:val="auto"/>
                <w:sz w:val="18"/>
                <w:szCs w:val="18"/>
              </w:rPr>
              <w:t>Firetrail Investments Pty Ltd</w:t>
            </w:r>
          </w:p>
        </w:tc>
        <w:tc>
          <w:tcPr>
            <w:tcW w:w="3898" w:type="dxa"/>
            <w:tcBorders>
              <w:top w:val="single" w:sz="2" w:space="0" w:color="A3A3A3"/>
              <w:bottom w:val="single" w:sz="2" w:space="0" w:color="A3A3A3"/>
            </w:tcBorders>
            <w:shd w:val="clear" w:color="auto" w:fill="auto"/>
          </w:tcPr>
          <w:p w14:paraId="30E413CD" w14:textId="0A35BF9E" w:rsidR="001E42FE" w:rsidRPr="000B1BB2" w:rsidRDefault="00352066" w:rsidP="009479DE">
            <w:pPr>
              <w:pStyle w:val="TableHeading2"/>
              <w:spacing w:line="240" w:lineRule="auto"/>
              <w:rPr>
                <w:rFonts w:ascii="Arial" w:hAnsi="Arial" w:cs="Arial"/>
                <w:color w:val="auto"/>
                <w:sz w:val="18"/>
                <w:szCs w:val="18"/>
              </w:rPr>
            </w:pPr>
            <w:r w:rsidRPr="000B1BB2">
              <w:rPr>
                <w:rFonts w:ascii="Arial" w:eastAsia="Times New Roman" w:hAnsi="Arial" w:cs="Arial"/>
                <w:color w:val="auto"/>
                <w:sz w:val="18"/>
                <w:szCs w:val="18"/>
              </w:rPr>
              <w:t>L1 Capital</w:t>
            </w:r>
            <w:r w:rsidR="00F307C1" w:rsidRPr="000B1BB2">
              <w:rPr>
                <w:rFonts w:ascii="Arial" w:eastAsia="Times New Roman" w:hAnsi="Arial" w:cs="Arial"/>
                <w:color w:val="auto"/>
                <w:sz w:val="18"/>
                <w:szCs w:val="18"/>
              </w:rPr>
              <w:t xml:space="preserve"> Pty Ltd</w:t>
            </w:r>
          </w:p>
        </w:tc>
      </w:tr>
      <w:tr w:rsidR="004C3440" w:rsidRPr="008D492D" w14:paraId="05403FBB" w14:textId="77777777" w:rsidTr="00EB612D">
        <w:trPr>
          <w:cantSplit/>
          <w:trHeight w:val="308"/>
        </w:trPr>
        <w:tc>
          <w:tcPr>
            <w:tcW w:w="2410" w:type="dxa"/>
            <w:tcBorders>
              <w:top w:val="single" w:sz="2" w:space="0" w:color="A3A3A3"/>
              <w:bottom w:val="single" w:sz="2" w:space="0" w:color="A3A3A3"/>
            </w:tcBorders>
          </w:tcPr>
          <w:p w14:paraId="634B4863" w14:textId="0A736DC8" w:rsidR="001E42FE" w:rsidRPr="000B1BB2" w:rsidRDefault="001E42FE" w:rsidP="009479DE">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Objective</w:t>
            </w:r>
          </w:p>
        </w:tc>
        <w:tc>
          <w:tcPr>
            <w:tcW w:w="3898" w:type="dxa"/>
            <w:tcBorders>
              <w:top w:val="single" w:sz="2" w:space="0" w:color="A3A3A3"/>
              <w:bottom w:val="single" w:sz="2" w:space="0" w:color="A3A3A3"/>
            </w:tcBorders>
            <w:shd w:val="clear" w:color="auto" w:fill="auto"/>
          </w:tcPr>
          <w:p w14:paraId="5A24F89F" w14:textId="5656DD65" w:rsidR="001E42FE" w:rsidRPr="000B1BB2" w:rsidRDefault="003D64D2" w:rsidP="003D64D2">
            <w:pPr>
              <w:pStyle w:val="TableHeading2"/>
              <w:spacing w:line="240" w:lineRule="auto"/>
              <w:rPr>
                <w:rFonts w:ascii="Arial" w:hAnsi="Arial" w:cs="Arial"/>
                <w:color w:val="auto"/>
                <w:sz w:val="18"/>
                <w:szCs w:val="18"/>
              </w:rPr>
            </w:pPr>
            <w:r w:rsidRPr="000B1BB2">
              <w:rPr>
                <w:rFonts w:ascii="Arial" w:hAnsi="Arial" w:cs="Arial"/>
                <w:color w:val="auto"/>
                <w:sz w:val="18"/>
                <w:szCs w:val="18"/>
              </w:rPr>
              <w:t>The fund aims to outperform the RBA Cash Rate over the medium to long term (before fees and tax).</w:t>
            </w:r>
          </w:p>
        </w:tc>
        <w:tc>
          <w:tcPr>
            <w:tcW w:w="3898" w:type="dxa"/>
            <w:tcBorders>
              <w:top w:val="single" w:sz="2" w:space="0" w:color="A3A3A3"/>
              <w:bottom w:val="single" w:sz="2" w:space="0" w:color="A3A3A3"/>
            </w:tcBorders>
            <w:shd w:val="clear" w:color="auto" w:fill="auto"/>
          </w:tcPr>
          <w:p w14:paraId="5762D2DD" w14:textId="5D785304" w:rsidR="001E42FE" w:rsidRPr="000B1BB2" w:rsidRDefault="00352066" w:rsidP="009479DE">
            <w:pPr>
              <w:pStyle w:val="TableHeading2"/>
              <w:spacing w:line="240" w:lineRule="auto"/>
              <w:rPr>
                <w:rFonts w:ascii="Arial" w:hAnsi="Arial" w:cs="Arial"/>
                <w:color w:val="auto"/>
                <w:sz w:val="18"/>
                <w:szCs w:val="18"/>
              </w:rPr>
            </w:pPr>
            <w:r w:rsidRPr="000B1BB2">
              <w:rPr>
                <w:rFonts w:ascii="Arial" w:eastAsia="Times New Roman" w:hAnsi="Arial" w:cs="Arial"/>
                <w:color w:val="auto"/>
                <w:sz w:val="18"/>
                <w:szCs w:val="18"/>
              </w:rPr>
              <w:t>The objective of the fund is to achieve strong, positive, risk adjusted returns over the long term (in AUD terms). The return objective of the fund is 10% p.a. net of investment management fees and expenses and before tax over the long term.</w:t>
            </w:r>
          </w:p>
        </w:tc>
      </w:tr>
      <w:tr w:rsidR="004C3440" w:rsidRPr="008D492D" w14:paraId="444A3F04" w14:textId="77777777" w:rsidTr="00EB612D">
        <w:trPr>
          <w:cantSplit/>
          <w:trHeight w:val="308"/>
        </w:trPr>
        <w:tc>
          <w:tcPr>
            <w:tcW w:w="2410" w:type="dxa"/>
            <w:tcBorders>
              <w:top w:val="single" w:sz="2" w:space="0" w:color="A3A3A3"/>
              <w:bottom w:val="single" w:sz="2" w:space="0" w:color="A3A3A3"/>
            </w:tcBorders>
          </w:tcPr>
          <w:p w14:paraId="0CD99B70" w14:textId="10C91D48" w:rsidR="001E42FE" w:rsidRPr="000B1BB2" w:rsidRDefault="001E42FE" w:rsidP="009479DE">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Investment approach</w:t>
            </w:r>
          </w:p>
        </w:tc>
        <w:tc>
          <w:tcPr>
            <w:tcW w:w="3898" w:type="dxa"/>
            <w:tcBorders>
              <w:top w:val="single" w:sz="2" w:space="0" w:color="A3A3A3"/>
              <w:bottom w:val="single" w:sz="2" w:space="0" w:color="A3A3A3"/>
            </w:tcBorders>
            <w:shd w:val="clear" w:color="auto" w:fill="auto"/>
          </w:tcPr>
          <w:p w14:paraId="132CDB80" w14:textId="301044B7" w:rsidR="001E42FE" w:rsidRPr="000B1BB2" w:rsidRDefault="00695B94" w:rsidP="00695B94">
            <w:pPr>
              <w:pStyle w:val="TableHeading2"/>
              <w:spacing w:line="240" w:lineRule="auto"/>
              <w:rPr>
                <w:rFonts w:ascii="Arial" w:hAnsi="Arial" w:cs="Arial"/>
                <w:color w:val="auto"/>
                <w:sz w:val="18"/>
                <w:szCs w:val="18"/>
              </w:rPr>
            </w:pPr>
            <w:r w:rsidRPr="000B1BB2">
              <w:rPr>
                <w:rFonts w:ascii="Arial" w:hAnsi="Arial" w:cs="Arial"/>
                <w:color w:val="auto"/>
                <w:sz w:val="18"/>
                <w:szCs w:val="18"/>
              </w:rPr>
              <w:t>The fund aims to provide investors with access to an actively managed equities portfolio predominately comprised of long positions and short positions in Australian listed securities and constructed using the fund</w:t>
            </w:r>
            <w:r w:rsidR="000B1BB2">
              <w:rPr>
                <w:rFonts w:ascii="Arial" w:hAnsi="Arial" w:cs="Arial"/>
                <w:color w:val="auto"/>
                <w:sz w:val="18"/>
                <w:szCs w:val="18"/>
              </w:rPr>
              <w:t>’s</w:t>
            </w:r>
            <w:r w:rsidRPr="000B1BB2">
              <w:rPr>
                <w:rFonts w:ascii="Arial" w:hAnsi="Arial" w:cs="Arial"/>
                <w:color w:val="auto"/>
                <w:sz w:val="18"/>
                <w:szCs w:val="18"/>
              </w:rPr>
              <w:t xml:space="preserve"> net market neutral investment strategy. Long only positions are selected using in-depth fundamental analysis. The short portfolio is constructed using a combination of fundamental analysis, systematic strategies and other value-adding strategies.</w:t>
            </w:r>
          </w:p>
        </w:tc>
        <w:tc>
          <w:tcPr>
            <w:tcW w:w="3898" w:type="dxa"/>
            <w:tcBorders>
              <w:top w:val="single" w:sz="2" w:space="0" w:color="A3A3A3"/>
              <w:bottom w:val="single" w:sz="2" w:space="0" w:color="A3A3A3"/>
            </w:tcBorders>
            <w:shd w:val="clear" w:color="auto" w:fill="auto"/>
          </w:tcPr>
          <w:p w14:paraId="3AED7FBD" w14:textId="439DF57F" w:rsidR="001E42FE" w:rsidRPr="000B1BB2" w:rsidRDefault="00965114" w:rsidP="006E08A5">
            <w:pPr>
              <w:pStyle w:val="TableHeading2"/>
              <w:spacing w:line="240" w:lineRule="auto"/>
              <w:rPr>
                <w:rFonts w:ascii="Arial" w:hAnsi="Arial" w:cs="Arial"/>
                <w:color w:val="auto"/>
                <w:sz w:val="18"/>
                <w:szCs w:val="18"/>
              </w:rPr>
            </w:pPr>
            <w:r w:rsidRPr="000B1BB2">
              <w:rPr>
                <w:rFonts w:ascii="Arial" w:eastAsia="Times New Roman" w:hAnsi="Arial" w:cs="Arial"/>
                <w:color w:val="auto"/>
                <w:sz w:val="18"/>
                <w:szCs w:val="18"/>
              </w:rPr>
              <w:t xml:space="preserve">The manager uses a fundamental, bottom-up stock picking approach to identify securities with the potential to provide attractive risk-adjusted returns. The manager combines valuation with qualitative considerations to select investments, resulting in a portfolio that is best described as </w:t>
            </w:r>
            <w:r w:rsidRPr="000B1BB2">
              <w:rPr>
                <w:rFonts w:ascii="Arial" w:eastAsia="Times New Roman" w:hAnsi="Arial" w:cs="Arial" w:hint="eastAsia"/>
                <w:color w:val="auto"/>
                <w:sz w:val="18"/>
                <w:szCs w:val="18"/>
              </w:rPr>
              <w:t>‘</w:t>
            </w:r>
            <w:r w:rsidRPr="000B1BB2">
              <w:rPr>
                <w:rFonts w:ascii="Arial" w:eastAsia="Times New Roman" w:hAnsi="Arial" w:cs="Arial"/>
                <w:color w:val="auto"/>
                <w:sz w:val="18"/>
                <w:szCs w:val="18"/>
              </w:rPr>
              <w:t>style neutral</w:t>
            </w:r>
            <w:r w:rsidRPr="000B1BB2">
              <w:rPr>
                <w:rFonts w:ascii="Arial" w:eastAsia="Times New Roman" w:hAnsi="Arial" w:cs="Arial" w:hint="eastAsia"/>
                <w:color w:val="auto"/>
                <w:sz w:val="18"/>
                <w:szCs w:val="18"/>
              </w:rPr>
              <w:t>’</w:t>
            </w:r>
            <w:r w:rsidRPr="000B1BB2">
              <w:rPr>
                <w:rFonts w:ascii="Arial" w:eastAsia="Times New Roman" w:hAnsi="Arial" w:cs="Arial"/>
                <w:color w:val="auto"/>
                <w:sz w:val="18"/>
                <w:szCs w:val="18"/>
              </w:rPr>
              <w:t>. However given the strict valuation criteria in the investment process, the fund</w:t>
            </w:r>
            <w:r w:rsidRPr="000B1BB2">
              <w:rPr>
                <w:rFonts w:ascii="Arial" w:eastAsia="Times New Roman" w:hAnsi="Arial" w:cs="Arial" w:hint="eastAsia"/>
                <w:color w:val="auto"/>
                <w:sz w:val="18"/>
                <w:szCs w:val="18"/>
              </w:rPr>
              <w:t>’</w:t>
            </w:r>
            <w:r w:rsidRPr="000B1BB2">
              <w:rPr>
                <w:rFonts w:ascii="Arial" w:eastAsia="Times New Roman" w:hAnsi="Arial" w:cs="Arial"/>
                <w:color w:val="auto"/>
                <w:sz w:val="18"/>
                <w:szCs w:val="18"/>
              </w:rPr>
              <w:t>s portfolio tends to have a slight value and contrarian bias. In addition to buying or shorting stocks, equity derivatives may be used to hedge the portfolio</w:t>
            </w:r>
            <w:r w:rsidRPr="000B1BB2">
              <w:rPr>
                <w:rFonts w:ascii="Arial" w:eastAsia="Times New Roman" w:hAnsi="Arial" w:cs="Arial" w:hint="eastAsia"/>
                <w:color w:val="auto"/>
                <w:sz w:val="18"/>
                <w:szCs w:val="18"/>
              </w:rPr>
              <w:t>’</w:t>
            </w:r>
            <w:r w:rsidRPr="000B1BB2">
              <w:rPr>
                <w:rFonts w:ascii="Arial" w:eastAsia="Times New Roman" w:hAnsi="Arial" w:cs="Arial"/>
                <w:color w:val="auto"/>
                <w:sz w:val="18"/>
                <w:szCs w:val="18"/>
              </w:rPr>
              <w:t xml:space="preserve">s market exposure or to enhance returns (while limiting potential capital losses). The fund may hold a total of 50-100 long and short stock positions (or equity derivatives) to profit from this mispricing. The fund invests a minimum of 70% of gross exposure in liquid, ASX-listed companies (primarily ASX200 ex Top 20 companies). Up to 30% of gross exposure can be invested in companies listed overseas (primarily developed markets </w:t>
            </w:r>
            <w:r w:rsidRPr="000B1BB2">
              <w:rPr>
                <w:rFonts w:ascii="Arial" w:eastAsia="Times New Roman" w:hAnsi="Arial" w:cs="Arial" w:hint="eastAsia"/>
                <w:color w:val="auto"/>
                <w:sz w:val="18"/>
                <w:szCs w:val="18"/>
              </w:rPr>
              <w:t>–</w:t>
            </w:r>
            <w:r w:rsidRPr="000B1BB2">
              <w:rPr>
                <w:rFonts w:ascii="Arial" w:eastAsia="Times New Roman" w:hAnsi="Arial" w:cs="Arial"/>
                <w:color w:val="auto"/>
                <w:sz w:val="18"/>
                <w:szCs w:val="18"/>
              </w:rPr>
              <w:t xml:space="preserve"> U.S., Canada, Europe, Hong Kong). Other than securities and derivatives, the fund will typically be invested in cash or cash equivalent instruments. Typical long positions are 0-6% each (6-10% for exceptional risk/reward) whilst typical short positions are 0-4% each (7-7% for exceptional risk/reward), reflecting the greater downside risk in shorting. The manager actively uses derivatives to hedge existing positions or profit from an opportunity identified through the research process. The underlying fund is permitted to borrow. There will be a maximum net long/short exposure of 150% and a maximum gross total exposure of 300%. The total (gross) exposure of the underlying fund will typically be between 150-300%.</w:t>
            </w:r>
          </w:p>
        </w:tc>
      </w:tr>
      <w:tr w:rsidR="004C3440" w:rsidRPr="008D492D" w14:paraId="68ED052A" w14:textId="77777777" w:rsidTr="00EB612D">
        <w:trPr>
          <w:cantSplit/>
          <w:trHeight w:val="308"/>
        </w:trPr>
        <w:tc>
          <w:tcPr>
            <w:tcW w:w="2410" w:type="dxa"/>
            <w:tcBorders>
              <w:top w:val="single" w:sz="2" w:space="0" w:color="A3A3A3"/>
              <w:bottom w:val="single" w:sz="2" w:space="0" w:color="A3A3A3"/>
            </w:tcBorders>
          </w:tcPr>
          <w:p w14:paraId="0DD9A6B2" w14:textId="5B5E96B9" w:rsidR="003A00AF" w:rsidRPr="000B1BB2" w:rsidRDefault="003A00AF" w:rsidP="009479DE">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Investment style</w:t>
            </w:r>
          </w:p>
        </w:tc>
        <w:tc>
          <w:tcPr>
            <w:tcW w:w="3898" w:type="dxa"/>
            <w:tcBorders>
              <w:top w:val="single" w:sz="2" w:space="0" w:color="A3A3A3"/>
              <w:bottom w:val="single" w:sz="2" w:space="0" w:color="A3A3A3"/>
            </w:tcBorders>
            <w:shd w:val="clear" w:color="auto" w:fill="auto"/>
          </w:tcPr>
          <w:p w14:paraId="71DCB255" w14:textId="1DDFE9F2" w:rsidR="003A00AF" w:rsidRPr="000B1BB2" w:rsidRDefault="00446636" w:rsidP="009479DE">
            <w:pPr>
              <w:pStyle w:val="TableHeading2"/>
              <w:spacing w:line="240" w:lineRule="auto"/>
              <w:rPr>
                <w:rFonts w:ascii="Arial" w:hAnsi="Arial" w:cs="Arial"/>
                <w:color w:val="auto"/>
                <w:sz w:val="18"/>
                <w:szCs w:val="18"/>
              </w:rPr>
            </w:pPr>
            <w:r w:rsidRPr="000B1BB2">
              <w:rPr>
                <w:rFonts w:ascii="Arial" w:hAnsi="Arial" w:cs="Arial"/>
                <w:color w:val="auto"/>
                <w:sz w:val="18"/>
                <w:szCs w:val="18"/>
              </w:rPr>
              <w:t>Alternatives</w:t>
            </w:r>
            <w:r w:rsidR="00F16047" w:rsidRPr="000B1BB2">
              <w:rPr>
                <w:rFonts w:ascii="Arial" w:hAnsi="Arial" w:cs="Arial"/>
                <w:color w:val="auto"/>
                <w:sz w:val="18"/>
                <w:szCs w:val="18"/>
              </w:rPr>
              <w:t xml:space="preserve"> </w:t>
            </w:r>
          </w:p>
        </w:tc>
        <w:tc>
          <w:tcPr>
            <w:tcW w:w="3898" w:type="dxa"/>
            <w:tcBorders>
              <w:top w:val="single" w:sz="2" w:space="0" w:color="A3A3A3"/>
              <w:bottom w:val="single" w:sz="2" w:space="0" w:color="A3A3A3"/>
            </w:tcBorders>
            <w:shd w:val="clear" w:color="auto" w:fill="auto"/>
          </w:tcPr>
          <w:p w14:paraId="3AB26582" w14:textId="321EB677" w:rsidR="003A00AF" w:rsidRPr="000B1BB2" w:rsidRDefault="00446636" w:rsidP="009479DE">
            <w:pPr>
              <w:pStyle w:val="TableHeading2"/>
              <w:spacing w:line="240" w:lineRule="auto"/>
              <w:rPr>
                <w:rFonts w:ascii="Arial" w:hAnsi="Arial" w:cs="Arial"/>
                <w:color w:val="auto"/>
                <w:sz w:val="18"/>
                <w:szCs w:val="18"/>
              </w:rPr>
            </w:pPr>
            <w:r w:rsidRPr="000B1BB2">
              <w:rPr>
                <w:rFonts w:ascii="Arial" w:hAnsi="Arial" w:cs="Arial"/>
                <w:color w:val="auto"/>
                <w:sz w:val="18"/>
                <w:szCs w:val="18"/>
              </w:rPr>
              <w:t>Alternatives</w:t>
            </w:r>
          </w:p>
        </w:tc>
      </w:tr>
      <w:tr w:rsidR="004C3440" w:rsidRPr="008D492D" w14:paraId="5704D0B9" w14:textId="77777777" w:rsidTr="00EB612D">
        <w:trPr>
          <w:cantSplit/>
          <w:trHeight w:val="308"/>
        </w:trPr>
        <w:tc>
          <w:tcPr>
            <w:tcW w:w="2410" w:type="dxa"/>
            <w:tcBorders>
              <w:top w:val="single" w:sz="2" w:space="0" w:color="A3A3A3"/>
              <w:bottom w:val="single" w:sz="2" w:space="0" w:color="A3A3A3"/>
            </w:tcBorders>
          </w:tcPr>
          <w:p w14:paraId="3A5D0126" w14:textId="1A3D56ED" w:rsidR="003A00AF" w:rsidRPr="000B1BB2" w:rsidRDefault="003A00AF" w:rsidP="009479DE">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Investment guidelines</w:t>
            </w:r>
          </w:p>
        </w:tc>
        <w:tc>
          <w:tcPr>
            <w:tcW w:w="3898" w:type="dxa"/>
            <w:tcBorders>
              <w:top w:val="single" w:sz="2" w:space="0" w:color="A3A3A3"/>
              <w:bottom w:val="single" w:sz="2" w:space="0" w:color="A3A3A3"/>
            </w:tcBorders>
            <w:shd w:val="clear" w:color="auto" w:fill="auto"/>
          </w:tcPr>
          <w:p w14:paraId="03C55A3A" w14:textId="77777777" w:rsidR="003D64D2" w:rsidRPr="000B1BB2" w:rsidRDefault="003D64D2" w:rsidP="003D64D2">
            <w:pPr>
              <w:pStyle w:val="TableHeading2"/>
              <w:spacing w:line="240" w:lineRule="auto"/>
              <w:rPr>
                <w:rFonts w:ascii="Arial" w:hAnsi="Arial" w:cs="Arial"/>
                <w:color w:val="auto"/>
                <w:sz w:val="18"/>
                <w:szCs w:val="18"/>
              </w:rPr>
            </w:pPr>
            <w:r w:rsidRPr="000B1BB2">
              <w:rPr>
                <w:rFonts w:ascii="Arial" w:hAnsi="Arial" w:cs="Arial"/>
                <w:color w:val="auto"/>
                <w:sz w:val="18"/>
                <w:szCs w:val="18"/>
              </w:rPr>
              <w:t>Cash &amp; cash equivalents 0-95%</w:t>
            </w:r>
          </w:p>
          <w:p w14:paraId="6E5E5857" w14:textId="034EDEC8" w:rsidR="003D64D2" w:rsidRPr="000B1BB2" w:rsidRDefault="003D64D2" w:rsidP="003D64D2">
            <w:pPr>
              <w:pStyle w:val="TableHeading2"/>
              <w:spacing w:line="240" w:lineRule="auto"/>
              <w:rPr>
                <w:rFonts w:ascii="Arial" w:hAnsi="Arial" w:cs="Arial"/>
                <w:color w:val="auto"/>
                <w:sz w:val="18"/>
                <w:szCs w:val="18"/>
              </w:rPr>
            </w:pPr>
            <w:r w:rsidRPr="000B1BB2">
              <w:rPr>
                <w:rFonts w:ascii="Arial" w:hAnsi="Arial" w:cs="Arial"/>
                <w:color w:val="auto"/>
                <w:sz w:val="18"/>
                <w:szCs w:val="18"/>
              </w:rPr>
              <w:t>Australian shares 0-30%</w:t>
            </w:r>
          </w:p>
          <w:p w14:paraId="1D01EBDE" w14:textId="6B380E91" w:rsidR="00C95ACF" w:rsidRPr="000B1BB2" w:rsidRDefault="003D64D2" w:rsidP="00965114">
            <w:pPr>
              <w:pStyle w:val="TableHeading2"/>
              <w:spacing w:line="240" w:lineRule="auto"/>
              <w:rPr>
                <w:rFonts w:ascii="Arial" w:hAnsi="Arial" w:cs="Arial"/>
                <w:color w:val="auto"/>
                <w:sz w:val="18"/>
                <w:szCs w:val="18"/>
              </w:rPr>
            </w:pPr>
            <w:r w:rsidRPr="000B1BB2">
              <w:rPr>
                <w:rFonts w:ascii="Arial" w:hAnsi="Arial" w:cs="Arial"/>
                <w:color w:val="auto"/>
                <w:sz w:val="18"/>
                <w:szCs w:val="18"/>
              </w:rPr>
              <w:t>Derivatives may be used to gain equities exposure typically up to a</w:t>
            </w:r>
            <w:r w:rsidR="00965114" w:rsidRPr="000B1BB2">
              <w:rPr>
                <w:rFonts w:ascii="Arial" w:hAnsi="Arial" w:cs="Arial"/>
                <w:color w:val="auto"/>
                <w:sz w:val="18"/>
                <w:szCs w:val="18"/>
              </w:rPr>
              <w:t xml:space="preserve"> </w:t>
            </w:r>
            <w:r w:rsidRPr="000B1BB2">
              <w:rPr>
                <w:rFonts w:ascii="Arial" w:hAnsi="Arial" w:cs="Arial"/>
                <w:color w:val="auto"/>
                <w:sz w:val="18"/>
                <w:szCs w:val="18"/>
              </w:rPr>
              <w:t>maximum of 400% gross leverage of the investment strategy</w:t>
            </w:r>
            <w:r w:rsidR="000B1BB2">
              <w:rPr>
                <w:rFonts w:ascii="Arial" w:hAnsi="Arial" w:cs="Arial"/>
                <w:color w:val="auto"/>
                <w:sz w:val="18"/>
                <w:szCs w:val="18"/>
              </w:rPr>
              <w:t>’s</w:t>
            </w:r>
            <w:r w:rsidRPr="000B1BB2">
              <w:rPr>
                <w:rFonts w:ascii="Arial" w:hAnsi="Arial" w:cs="Arial"/>
                <w:color w:val="auto"/>
                <w:sz w:val="18"/>
                <w:szCs w:val="18"/>
              </w:rPr>
              <w:t xml:space="preserve"> investable</w:t>
            </w:r>
            <w:r w:rsidR="00965114" w:rsidRPr="000B1BB2">
              <w:rPr>
                <w:rFonts w:ascii="Arial" w:hAnsi="Arial" w:cs="Arial"/>
                <w:color w:val="auto"/>
                <w:sz w:val="18"/>
                <w:szCs w:val="18"/>
              </w:rPr>
              <w:t xml:space="preserve"> </w:t>
            </w:r>
            <w:r w:rsidRPr="000B1BB2">
              <w:rPr>
                <w:rFonts w:ascii="Arial" w:hAnsi="Arial" w:cs="Arial"/>
                <w:color w:val="auto"/>
                <w:sz w:val="18"/>
                <w:szCs w:val="18"/>
              </w:rPr>
              <w:t>holdings.</w:t>
            </w:r>
          </w:p>
        </w:tc>
        <w:tc>
          <w:tcPr>
            <w:tcW w:w="3898" w:type="dxa"/>
            <w:tcBorders>
              <w:top w:val="single" w:sz="2" w:space="0" w:color="A3A3A3"/>
              <w:bottom w:val="single" w:sz="2" w:space="0" w:color="A3A3A3"/>
            </w:tcBorders>
            <w:shd w:val="clear" w:color="auto" w:fill="auto"/>
          </w:tcPr>
          <w:p w14:paraId="23C37976" w14:textId="77777777" w:rsidR="00240155" w:rsidRPr="000B1BB2" w:rsidRDefault="00240155" w:rsidP="00240155">
            <w:pPr>
              <w:pStyle w:val="TableHeading2"/>
              <w:spacing w:line="240" w:lineRule="auto"/>
              <w:rPr>
                <w:rFonts w:ascii="Arial" w:eastAsia="Times New Roman" w:hAnsi="Arial" w:cs="Arial"/>
                <w:color w:val="auto"/>
                <w:sz w:val="18"/>
                <w:szCs w:val="18"/>
              </w:rPr>
            </w:pPr>
            <w:r w:rsidRPr="000B1BB2">
              <w:rPr>
                <w:rFonts w:ascii="Arial" w:eastAsia="Times New Roman" w:hAnsi="Arial" w:cs="Arial"/>
                <w:color w:val="auto"/>
                <w:sz w:val="18"/>
                <w:szCs w:val="18"/>
              </w:rPr>
              <w:t xml:space="preserve">Cash &amp; cash equivalents 0-95% </w:t>
            </w:r>
          </w:p>
          <w:p w14:paraId="1D1757A5" w14:textId="77777777" w:rsidR="00240155" w:rsidRPr="000B1BB2" w:rsidRDefault="00240155" w:rsidP="00240155">
            <w:pPr>
              <w:pStyle w:val="TableHeading2"/>
              <w:spacing w:line="240" w:lineRule="auto"/>
              <w:rPr>
                <w:rFonts w:ascii="Arial" w:eastAsia="Times New Roman" w:hAnsi="Arial" w:cs="Arial"/>
                <w:color w:val="auto"/>
                <w:sz w:val="18"/>
                <w:szCs w:val="18"/>
              </w:rPr>
            </w:pPr>
            <w:r w:rsidRPr="000B1BB2">
              <w:rPr>
                <w:rFonts w:ascii="Arial" w:eastAsia="Times New Roman" w:hAnsi="Arial" w:cs="Arial"/>
                <w:color w:val="auto"/>
                <w:sz w:val="18"/>
                <w:szCs w:val="18"/>
              </w:rPr>
              <w:t>Australian shares 70-100%</w:t>
            </w:r>
          </w:p>
          <w:p w14:paraId="238A1C20" w14:textId="77777777" w:rsidR="00240155" w:rsidRPr="000B1BB2" w:rsidRDefault="00240155" w:rsidP="00240155">
            <w:pPr>
              <w:pStyle w:val="TableHeading2"/>
              <w:spacing w:line="240" w:lineRule="auto"/>
              <w:rPr>
                <w:rFonts w:ascii="Arial" w:eastAsia="Times New Roman" w:hAnsi="Arial" w:cs="Arial"/>
                <w:color w:val="auto"/>
                <w:sz w:val="18"/>
                <w:szCs w:val="18"/>
              </w:rPr>
            </w:pPr>
            <w:r w:rsidRPr="000B1BB2">
              <w:rPr>
                <w:rFonts w:ascii="Arial" w:eastAsia="Times New Roman" w:hAnsi="Arial" w:cs="Arial"/>
                <w:color w:val="auto"/>
                <w:sz w:val="18"/>
                <w:szCs w:val="18"/>
              </w:rPr>
              <w:t xml:space="preserve">International shares 0-30% </w:t>
            </w:r>
          </w:p>
          <w:p w14:paraId="6DC26E0D" w14:textId="6161BD35" w:rsidR="003A00AF" w:rsidRPr="000B1BB2" w:rsidRDefault="00240155" w:rsidP="00240155">
            <w:pPr>
              <w:pStyle w:val="TableHeading2"/>
              <w:spacing w:line="240" w:lineRule="auto"/>
              <w:rPr>
                <w:rFonts w:ascii="Arial" w:hAnsi="Arial" w:cs="Arial"/>
                <w:color w:val="auto"/>
                <w:sz w:val="18"/>
                <w:szCs w:val="18"/>
              </w:rPr>
            </w:pPr>
            <w:r w:rsidRPr="000B1BB2">
              <w:rPr>
                <w:rFonts w:ascii="Arial" w:eastAsia="Times New Roman" w:hAnsi="Arial" w:cs="Arial"/>
                <w:color w:val="auto"/>
                <w:sz w:val="18"/>
                <w:szCs w:val="18"/>
              </w:rPr>
              <w:t>A maximum of 300% gross leverage of the portfolio</w:t>
            </w:r>
            <w:r w:rsidRPr="000B1BB2">
              <w:rPr>
                <w:rFonts w:ascii="Arial" w:eastAsia="Times New Roman" w:hAnsi="Arial" w:cs="Arial" w:hint="eastAsia"/>
                <w:color w:val="auto"/>
                <w:sz w:val="18"/>
                <w:szCs w:val="18"/>
              </w:rPr>
              <w:t>’</w:t>
            </w:r>
            <w:r w:rsidRPr="000B1BB2">
              <w:rPr>
                <w:rFonts w:ascii="Arial" w:eastAsia="Times New Roman" w:hAnsi="Arial" w:cs="Arial"/>
                <w:color w:val="auto"/>
                <w:sz w:val="18"/>
                <w:szCs w:val="18"/>
              </w:rPr>
              <w:t>s investable holdings.</w:t>
            </w:r>
          </w:p>
        </w:tc>
      </w:tr>
      <w:tr w:rsidR="004C3440" w:rsidRPr="008D492D" w14:paraId="37340AB8" w14:textId="77777777" w:rsidTr="00EB612D">
        <w:trPr>
          <w:cantSplit/>
          <w:trHeight w:val="308"/>
        </w:trPr>
        <w:tc>
          <w:tcPr>
            <w:tcW w:w="2410" w:type="dxa"/>
            <w:tcBorders>
              <w:top w:val="single" w:sz="2" w:space="0" w:color="A3A3A3"/>
              <w:bottom w:val="single" w:sz="2" w:space="0" w:color="A3A3A3"/>
            </w:tcBorders>
          </w:tcPr>
          <w:p w14:paraId="09E0B6BA" w14:textId="238D10C2" w:rsidR="003A00AF" w:rsidRPr="000B1BB2" w:rsidRDefault="003A00AF" w:rsidP="009479DE">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Risk level</w:t>
            </w:r>
            <w:r w:rsidR="007219E7" w:rsidRPr="000B1BB2">
              <w:rPr>
                <w:rFonts w:ascii="Arial" w:hAnsi="Arial" w:cs="Arial"/>
                <w:b/>
                <w:bCs/>
                <w:color w:val="auto"/>
                <w:sz w:val="18"/>
                <w:szCs w:val="18"/>
                <w:vertAlign w:val="superscript"/>
              </w:rPr>
              <w:t>1</w:t>
            </w:r>
          </w:p>
        </w:tc>
        <w:tc>
          <w:tcPr>
            <w:tcW w:w="3898" w:type="dxa"/>
            <w:tcBorders>
              <w:top w:val="single" w:sz="2" w:space="0" w:color="A3A3A3"/>
              <w:bottom w:val="single" w:sz="2" w:space="0" w:color="A3A3A3"/>
            </w:tcBorders>
            <w:shd w:val="clear" w:color="auto" w:fill="auto"/>
          </w:tcPr>
          <w:p w14:paraId="0CCEB013" w14:textId="290C4E22" w:rsidR="003A00AF" w:rsidRPr="000B1BB2" w:rsidRDefault="00240155" w:rsidP="009479DE">
            <w:pPr>
              <w:pStyle w:val="TableHeading2"/>
              <w:spacing w:line="240" w:lineRule="auto"/>
              <w:rPr>
                <w:rFonts w:ascii="Arial" w:hAnsi="Arial" w:cs="Arial"/>
                <w:color w:val="auto"/>
                <w:sz w:val="18"/>
                <w:szCs w:val="18"/>
              </w:rPr>
            </w:pPr>
            <w:r w:rsidRPr="000B1BB2">
              <w:rPr>
                <w:rFonts w:ascii="Arial" w:hAnsi="Arial" w:cs="Arial"/>
                <w:color w:val="auto"/>
                <w:sz w:val="18"/>
                <w:szCs w:val="18"/>
              </w:rPr>
              <w:t>6</w:t>
            </w:r>
            <w:r w:rsidR="00C95ACF" w:rsidRPr="000B1BB2">
              <w:rPr>
                <w:rFonts w:ascii="Arial" w:hAnsi="Arial" w:cs="Arial"/>
                <w:color w:val="auto"/>
                <w:sz w:val="18"/>
                <w:szCs w:val="18"/>
              </w:rPr>
              <w:t xml:space="preserve"> </w:t>
            </w:r>
            <w:r w:rsidR="00C95ACF" w:rsidRPr="000B1BB2">
              <w:rPr>
                <w:rFonts w:ascii="Arial" w:hAnsi="Arial" w:cs="Arial" w:hint="eastAsia"/>
                <w:color w:val="auto"/>
                <w:sz w:val="18"/>
                <w:szCs w:val="18"/>
              </w:rPr>
              <w:t>–</w:t>
            </w:r>
            <w:r w:rsidR="00C95ACF" w:rsidRPr="000B1BB2">
              <w:rPr>
                <w:rFonts w:ascii="Arial" w:hAnsi="Arial" w:cs="Arial"/>
                <w:color w:val="auto"/>
                <w:sz w:val="18"/>
                <w:szCs w:val="18"/>
              </w:rPr>
              <w:t xml:space="preserve"> High</w:t>
            </w:r>
          </w:p>
        </w:tc>
        <w:tc>
          <w:tcPr>
            <w:tcW w:w="3898" w:type="dxa"/>
            <w:tcBorders>
              <w:top w:val="single" w:sz="2" w:space="0" w:color="A3A3A3"/>
              <w:bottom w:val="single" w:sz="2" w:space="0" w:color="A3A3A3"/>
            </w:tcBorders>
            <w:shd w:val="clear" w:color="auto" w:fill="auto"/>
          </w:tcPr>
          <w:p w14:paraId="70458CB6" w14:textId="1B76E07A" w:rsidR="003A00AF" w:rsidRPr="000B1BB2" w:rsidRDefault="00240155" w:rsidP="009479DE">
            <w:pPr>
              <w:pStyle w:val="TableHeading2"/>
              <w:spacing w:line="240" w:lineRule="auto"/>
              <w:rPr>
                <w:rFonts w:ascii="Arial" w:hAnsi="Arial" w:cs="Arial"/>
                <w:color w:val="auto"/>
                <w:sz w:val="18"/>
                <w:szCs w:val="18"/>
              </w:rPr>
            </w:pPr>
            <w:r w:rsidRPr="000B1BB2">
              <w:rPr>
                <w:rFonts w:ascii="Arial" w:hAnsi="Arial" w:cs="Arial"/>
                <w:color w:val="auto"/>
                <w:sz w:val="18"/>
                <w:szCs w:val="18"/>
              </w:rPr>
              <w:t>6</w:t>
            </w:r>
            <w:r w:rsidR="00C95ACF" w:rsidRPr="000B1BB2">
              <w:rPr>
                <w:rFonts w:ascii="Arial" w:hAnsi="Arial" w:cs="Arial"/>
                <w:color w:val="auto"/>
                <w:sz w:val="18"/>
                <w:szCs w:val="18"/>
              </w:rPr>
              <w:t xml:space="preserve"> </w:t>
            </w:r>
            <w:r w:rsidR="00C95ACF" w:rsidRPr="000B1BB2">
              <w:rPr>
                <w:rFonts w:ascii="Arial" w:hAnsi="Arial" w:cs="Arial" w:hint="eastAsia"/>
                <w:color w:val="auto"/>
                <w:sz w:val="18"/>
                <w:szCs w:val="18"/>
              </w:rPr>
              <w:t>–</w:t>
            </w:r>
            <w:r w:rsidR="00C95ACF" w:rsidRPr="000B1BB2">
              <w:rPr>
                <w:rFonts w:ascii="Arial" w:hAnsi="Arial" w:cs="Arial"/>
                <w:color w:val="auto"/>
                <w:sz w:val="18"/>
                <w:szCs w:val="18"/>
              </w:rPr>
              <w:t xml:space="preserve"> High</w:t>
            </w:r>
          </w:p>
        </w:tc>
      </w:tr>
      <w:tr w:rsidR="004C3440" w:rsidRPr="008D492D" w14:paraId="6684855A" w14:textId="77777777" w:rsidTr="00EB612D">
        <w:trPr>
          <w:cantSplit/>
          <w:trHeight w:val="308"/>
        </w:trPr>
        <w:tc>
          <w:tcPr>
            <w:tcW w:w="2410" w:type="dxa"/>
            <w:tcBorders>
              <w:top w:val="single" w:sz="2" w:space="0" w:color="A3A3A3"/>
              <w:bottom w:val="single" w:sz="2" w:space="0" w:color="A3A3A3"/>
            </w:tcBorders>
          </w:tcPr>
          <w:p w14:paraId="270A5069" w14:textId="4AD0ED88" w:rsidR="003A00AF" w:rsidRPr="000B1BB2" w:rsidRDefault="003A00AF" w:rsidP="009479DE">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lastRenderedPageBreak/>
              <w:t>Suggested minimum length of investment</w:t>
            </w:r>
          </w:p>
        </w:tc>
        <w:tc>
          <w:tcPr>
            <w:tcW w:w="3898" w:type="dxa"/>
            <w:tcBorders>
              <w:top w:val="single" w:sz="2" w:space="0" w:color="A3A3A3"/>
              <w:bottom w:val="single" w:sz="2" w:space="0" w:color="A3A3A3"/>
            </w:tcBorders>
            <w:shd w:val="clear" w:color="auto" w:fill="auto"/>
          </w:tcPr>
          <w:p w14:paraId="51BB9F64" w14:textId="3A8E6D08" w:rsidR="003A00AF" w:rsidRPr="000B1BB2" w:rsidRDefault="00240155" w:rsidP="009479DE">
            <w:pPr>
              <w:pStyle w:val="TableHeading2"/>
              <w:spacing w:line="240" w:lineRule="auto"/>
              <w:rPr>
                <w:rFonts w:ascii="Arial" w:hAnsi="Arial" w:cs="Arial"/>
                <w:color w:val="auto"/>
                <w:sz w:val="18"/>
                <w:szCs w:val="18"/>
              </w:rPr>
            </w:pPr>
            <w:r w:rsidRPr="000B1BB2">
              <w:rPr>
                <w:rFonts w:ascii="Arial" w:hAnsi="Arial" w:cs="Arial"/>
                <w:color w:val="auto"/>
                <w:sz w:val="18"/>
                <w:szCs w:val="18"/>
              </w:rPr>
              <w:t>5</w:t>
            </w:r>
            <w:r w:rsidR="003A00AF" w:rsidRPr="000B1BB2">
              <w:rPr>
                <w:rFonts w:ascii="Arial" w:hAnsi="Arial" w:cs="Arial"/>
                <w:color w:val="auto"/>
                <w:sz w:val="18"/>
                <w:szCs w:val="18"/>
              </w:rPr>
              <w:t xml:space="preserve"> years</w:t>
            </w:r>
          </w:p>
        </w:tc>
        <w:tc>
          <w:tcPr>
            <w:tcW w:w="3898" w:type="dxa"/>
            <w:tcBorders>
              <w:top w:val="single" w:sz="2" w:space="0" w:color="A3A3A3"/>
              <w:bottom w:val="single" w:sz="2" w:space="0" w:color="A3A3A3"/>
            </w:tcBorders>
            <w:shd w:val="clear" w:color="auto" w:fill="auto"/>
          </w:tcPr>
          <w:p w14:paraId="25DE919A" w14:textId="04F9950A" w:rsidR="003A00AF" w:rsidRPr="000B1BB2" w:rsidRDefault="00240155" w:rsidP="009479DE">
            <w:pPr>
              <w:pStyle w:val="TableHeading2"/>
              <w:spacing w:line="240" w:lineRule="auto"/>
              <w:rPr>
                <w:rFonts w:ascii="Arial" w:hAnsi="Arial" w:cs="Arial"/>
                <w:color w:val="auto"/>
                <w:sz w:val="18"/>
                <w:szCs w:val="18"/>
              </w:rPr>
            </w:pPr>
            <w:r w:rsidRPr="000B1BB2">
              <w:rPr>
                <w:rFonts w:ascii="Arial" w:hAnsi="Arial" w:cs="Arial"/>
                <w:color w:val="auto"/>
                <w:sz w:val="18"/>
                <w:szCs w:val="18"/>
              </w:rPr>
              <w:t>5</w:t>
            </w:r>
            <w:r w:rsidR="00D03FB7" w:rsidRPr="000B1BB2">
              <w:rPr>
                <w:rFonts w:ascii="Arial" w:hAnsi="Arial" w:cs="Arial"/>
                <w:color w:val="auto"/>
                <w:sz w:val="18"/>
                <w:szCs w:val="18"/>
              </w:rPr>
              <w:t xml:space="preserve"> years</w:t>
            </w:r>
          </w:p>
        </w:tc>
      </w:tr>
      <w:tr w:rsidR="004C3440" w:rsidRPr="008D492D" w14:paraId="6F2A574B" w14:textId="77777777" w:rsidTr="00EB612D">
        <w:trPr>
          <w:cantSplit/>
          <w:trHeight w:val="308"/>
        </w:trPr>
        <w:tc>
          <w:tcPr>
            <w:tcW w:w="2410" w:type="dxa"/>
            <w:tcBorders>
              <w:top w:val="single" w:sz="2" w:space="0" w:color="A3A3A3"/>
              <w:bottom w:val="single" w:sz="2" w:space="0" w:color="A3A3A3"/>
            </w:tcBorders>
          </w:tcPr>
          <w:p w14:paraId="5ACCF069" w14:textId="39FE217E" w:rsidR="003A00AF" w:rsidRPr="000B1BB2" w:rsidRDefault="003A00AF" w:rsidP="009479DE">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Buy/sell spread</w:t>
            </w:r>
          </w:p>
        </w:tc>
        <w:tc>
          <w:tcPr>
            <w:tcW w:w="3898" w:type="dxa"/>
            <w:tcBorders>
              <w:top w:val="single" w:sz="2" w:space="0" w:color="A3A3A3"/>
              <w:bottom w:val="single" w:sz="2" w:space="0" w:color="A3A3A3"/>
            </w:tcBorders>
            <w:shd w:val="clear" w:color="auto" w:fill="auto"/>
          </w:tcPr>
          <w:p w14:paraId="032FDD97" w14:textId="62607538" w:rsidR="003A00AF" w:rsidRPr="000B1BB2" w:rsidRDefault="007E5F9D" w:rsidP="009479DE">
            <w:pPr>
              <w:pStyle w:val="TableHeading2"/>
              <w:spacing w:line="240" w:lineRule="auto"/>
              <w:rPr>
                <w:rFonts w:ascii="Arial" w:hAnsi="Arial" w:cs="Arial"/>
                <w:color w:val="auto"/>
                <w:sz w:val="18"/>
                <w:szCs w:val="18"/>
              </w:rPr>
            </w:pPr>
            <w:r w:rsidRPr="000B1BB2">
              <w:rPr>
                <w:rFonts w:ascii="Arial" w:hAnsi="Arial" w:cs="Arial"/>
                <w:color w:val="auto"/>
                <w:sz w:val="18"/>
                <w:szCs w:val="18"/>
              </w:rPr>
              <w:t>0.35</w:t>
            </w:r>
            <w:r w:rsidR="00C95ACF" w:rsidRPr="000B1BB2">
              <w:rPr>
                <w:rFonts w:ascii="Arial" w:hAnsi="Arial" w:cs="Arial"/>
                <w:color w:val="auto"/>
                <w:sz w:val="18"/>
                <w:szCs w:val="18"/>
              </w:rPr>
              <w:t>%/</w:t>
            </w:r>
            <w:r w:rsidRPr="000B1BB2">
              <w:rPr>
                <w:rFonts w:ascii="Arial" w:hAnsi="Arial" w:cs="Arial"/>
                <w:color w:val="auto"/>
                <w:sz w:val="18"/>
                <w:szCs w:val="18"/>
              </w:rPr>
              <w:t>0.35</w:t>
            </w:r>
            <w:r w:rsidR="00C95ACF" w:rsidRPr="000B1BB2">
              <w:rPr>
                <w:rFonts w:ascii="Arial" w:hAnsi="Arial" w:cs="Arial"/>
                <w:color w:val="auto"/>
                <w:sz w:val="18"/>
                <w:szCs w:val="18"/>
              </w:rPr>
              <w:t>%</w:t>
            </w:r>
          </w:p>
        </w:tc>
        <w:tc>
          <w:tcPr>
            <w:tcW w:w="3898" w:type="dxa"/>
            <w:tcBorders>
              <w:top w:val="single" w:sz="2" w:space="0" w:color="A3A3A3"/>
              <w:bottom w:val="single" w:sz="2" w:space="0" w:color="A3A3A3"/>
            </w:tcBorders>
            <w:shd w:val="clear" w:color="auto" w:fill="auto"/>
          </w:tcPr>
          <w:p w14:paraId="5E549D7B" w14:textId="3E3209FD" w:rsidR="003A00AF" w:rsidRPr="000B1BB2" w:rsidRDefault="00C95ACF" w:rsidP="009479DE">
            <w:pPr>
              <w:pStyle w:val="TableHeading2"/>
              <w:spacing w:line="240" w:lineRule="auto"/>
              <w:rPr>
                <w:rFonts w:ascii="Arial" w:hAnsi="Arial" w:cs="Arial"/>
                <w:color w:val="auto"/>
                <w:sz w:val="18"/>
                <w:szCs w:val="18"/>
              </w:rPr>
            </w:pPr>
            <w:r w:rsidRPr="000B1BB2">
              <w:rPr>
                <w:rFonts w:ascii="Arial" w:hAnsi="Arial" w:cs="Arial"/>
                <w:color w:val="auto"/>
                <w:sz w:val="18"/>
                <w:szCs w:val="18"/>
              </w:rPr>
              <w:t>0.1</w:t>
            </w:r>
            <w:r w:rsidR="00446636" w:rsidRPr="000B1BB2">
              <w:rPr>
                <w:rFonts w:ascii="Arial" w:hAnsi="Arial" w:cs="Arial"/>
                <w:color w:val="auto"/>
                <w:sz w:val="18"/>
                <w:szCs w:val="18"/>
              </w:rPr>
              <w:t>5</w:t>
            </w:r>
            <w:r w:rsidRPr="000B1BB2">
              <w:rPr>
                <w:rFonts w:ascii="Arial" w:hAnsi="Arial" w:cs="Arial"/>
                <w:color w:val="auto"/>
                <w:sz w:val="18"/>
                <w:szCs w:val="18"/>
              </w:rPr>
              <w:t>%/0.1</w:t>
            </w:r>
            <w:r w:rsidR="00446636" w:rsidRPr="000B1BB2">
              <w:rPr>
                <w:rFonts w:ascii="Arial" w:hAnsi="Arial" w:cs="Arial"/>
                <w:color w:val="auto"/>
                <w:sz w:val="18"/>
                <w:szCs w:val="18"/>
              </w:rPr>
              <w:t>5</w:t>
            </w:r>
            <w:r w:rsidRPr="000B1BB2">
              <w:rPr>
                <w:rFonts w:ascii="Arial" w:hAnsi="Arial" w:cs="Arial"/>
                <w:color w:val="auto"/>
                <w:sz w:val="18"/>
                <w:szCs w:val="18"/>
              </w:rPr>
              <w:t>%</w:t>
            </w:r>
          </w:p>
        </w:tc>
      </w:tr>
      <w:tr w:rsidR="004C3440" w:rsidRPr="008D492D" w14:paraId="47394847" w14:textId="77777777" w:rsidTr="00EB612D">
        <w:trPr>
          <w:cantSplit/>
          <w:trHeight w:val="308"/>
        </w:trPr>
        <w:tc>
          <w:tcPr>
            <w:tcW w:w="2410" w:type="dxa"/>
            <w:tcBorders>
              <w:top w:val="single" w:sz="2" w:space="0" w:color="A3A3A3"/>
              <w:bottom w:val="single" w:sz="2" w:space="0" w:color="A3A3A3"/>
            </w:tcBorders>
          </w:tcPr>
          <w:p w14:paraId="673217CA" w14:textId="77777777" w:rsidR="007E5F9D" w:rsidRPr="000B1BB2" w:rsidRDefault="007E5F9D" w:rsidP="007B2F9B">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Investment management fees and costs</w:t>
            </w:r>
            <w:r w:rsidRPr="000B1BB2">
              <w:rPr>
                <w:rFonts w:ascii="Arial" w:hAnsi="Arial" w:cs="Arial"/>
                <w:b/>
                <w:bCs/>
                <w:color w:val="auto"/>
                <w:sz w:val="18"/>
                <w:szCs w:val="18"/>
                <w:vertAlign w:val="superscript"/>
              </w:rPr>
              <w:t>2</w:t>
            </w:r>
          </w:p>
        </w:tc>
        <w:tc>
          <w:tcPr>
            <w:tcW w:w="3898" w:type="dxa"/>
            <w:tcBorders>
              <w:top w:val="single" w:sz="2" w:space="0" w:color="A3A3A3"/>
              <w:bottom w:val="single" w:sz="2" w:space="0" w:color="A3A3A3"/>
            </w:tcBorders>
            <w:shd w:val="clear" w:color="auto" w:fill="auto"/>
          </w:tcPr>
          <w:p w14:paraId="0D9CAC5F" w14:textId="754B2E3C" w:rsidR="007E5F9D" w:rsidRPr="000B1BB2" w:rsidRDefault="002A7664" w:rsidP="00A333E9">
            <w:pPr>
              <w:pStyle w:val="TableHeading2"/>
              <w:spacing w:line="240" w:lineRule="auto"/>
              <w:rPr>
                <w:rFonts w:ascii="Arial" w:hAnsi="Arial" w:cs="Arial"/>
                <w:color w:val="auto"/>
                <w:sz w:val="18"/>
                <w:szCs w:val="18"/>
              </w:rPr>
            </w:pPr>
            <w:r w:rsidRPr="000B1BB2">
              <w:rPr>
                <w:rFonts w:ascii="Arial" w:hAnsi="Arial" w:cs="Arial"/>
                <w:color w:val="auto"/>
                <w:sz w:val="18"/>
                <w:szCs w:val="18"/>
              </w:rPr>
              <w:t>1.28</w:t>
            </w:r>
            <w:r w:rsidR="007E5F9D" w:rsidRPr="000B1BB2">
              <w:rPr>
                <w:rFonts w:ascii="Arial" w:hAnsi="Arial" w:cs="Arial"/>
                <w:color w:val="auto"/>
                <w:sz w:val="18"/>
                <w:szCs w:val="18"/>
              </w:rPr>
              <w:t>% p.a.</w:t>
            </w:r>
          </w:p>
        </w:tc>
        <w:tc>
          <w:tcPr>
            <w:tcW w:w="3898" w:type="dxa"/>
            <w:tcBorders>
              <w:top w:val="single" w:sz="2" w:space="0" w:color="A3A3A3"/>
              <w:bottom w:val="single" w:sz="2" w:space="0" w:color="A3A3A3"/>
            </w:tcBorders>
            <w:shd w:val="clear" w:color="auto" w:fill="auto"/>
          </w:tcPr>
          <w:p w14:paraId="20F08C0B" w14:textId="43D188FB" w:rsidR="007E5F9D" w:rsidRPr="000B1BB2" w:rsidRDefault="00446636" w:rsidP="00A333E9">
            <w:pPr>
              <w:pStyle w:val="TableHeading2"/>
              <w:spacing w:line="240" w:lineRule="auto"/>
              <w:rPr>
                <w:rFonts w:ascii="Arial" w:hAnsi="Arial" w:cs="Arial"/>
                <w:color w:val="auto"/>
                <w:sz w:val="18"/>
                <w:szCs w:val="18"/>
              </w:rPr>
            </w:pPr>
            <w:r w:rsidRPr="000B1BB2">
              <w:rPr>
                <w:rFonts w:ascii="Arial" w:hAnsi="Arial" w:cs="Arial"/>
                <w:color w:val="auto"/>
                <w:sz w:val="18"/>
                <w:szCs w:val="18"/>
              </w:rPr>
              <w:t>1</w:t>
            </w:r>
            <w:r w:rsidR="007E5F9D" w:rsidRPr="000B1BB2">
              <w:rPr>
                <w:rFonts w:ascii="Arial" w:hAnsi="Arial" w:cs="Arial"/>
                <w:color w:val="auto"/>
                <w:sz w:val="18"/>
                <w:szCs w:val="18"/>
              </w:rPr>
              <w:t>.5</w:t>
            </w:r>
            <w:r w:rsidRPr="000B1BB2">
              <w:rPr>
                <w:rFonts w:ascii="Arial" w:hAnsi="Arial" w:cs="Arial"/>
                <w:color w:val="auto"/>
                <w:sz w:val="18"/>
                <w:szCs w:val="18"/>
              </w:rPr>
              <w:t>4</w:t>
            </w:r>
            <w:r w:rsidR="007E5F9D" w:rsidRPr="000B1BB2">
              <w:rPr>
                <w:rFonts w:ascii="Arial" w:hAnsi="Arial" w:cs="Arial"/>
                <w:color w:val="auto"/>
                <w:sz w:val="18"/>
                <w:szCs w:val="18"/>
              </w:rPr>
              <w:t>% p.a.</w:t>
            </w:r>
          </w:p>
        </w:tc>
      </w:tr>
      <w:tr w:rsidR="004C3440" w:rsidRPr="008D492D" w14:paraId="0DDFCF1B" w14:textId="77777777" w:rsidTr="00EB612D">
        <w:trPr>
          <w:cantSplit/>
          <w:trHeight w:val="308"/>
        </w:trPr>
        <w:tc>
          <w:tcPr>
            <w:tcW w:w="2410" w:type="dxa"/>
            <w:tcBorders>
              <w:top w:val="single" w:sz="2" w:space="0" w:color="A3A3A3"/>
              <w:bottom w:val="single" w:sz="2" w:space="0" w:color="A3A3A3"/>
            </w:tcBorders>
          </w:tcPr>
          <w:p w14:paraId="7B96B42A" w14:textId="77777777" w:rsidR="007E5F9D" w:rsidRPr="000B1BB2" w:rsidRDefault="007E5F9D" w:rsidP="007B2F9B">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Performance fees</w:t>
            </w:r>
          </w:p>
        </w:tc>
        <w:tc>
          <w:tcPr>
            <w:tcW w:w="3898" w:type="dxa"/>
            <w:tcBorders>
              <w:top w:val="single" w:sz="2" w:space="0" w:color="A3A3A3"/>
              <w:bottom w:val="single" w:sz="2" w:space="0" w:color="A3A3A3"/>
            </w:tcBorders>
            <w:shd w:val="clear" w:color="auto" w:fill="auto"/>
          </w:tcPr>
          <w:p w14:paraId="5F8AB06F" w14:textId="30F3A00D" w:rsidR="007E5F9D" w:rsidRPr="000B1BB2" w:rsidRDefault="00446636" w:rsidP="007B2F9B">
            <w:pPr>
              <w:pStyle w:val="TableHeading2"/>
              <w:spacing w:line="240" w:lineRule="auto"/>
              <w:rPr>
                <w:rFonts w:ascii="Arial" w:hAnsi="Arial" w:cs="Arial"/>
                <w:color w:val="auto"/>
                <w:sz w:val="18"/>
                <w:szCs w:val="18"/>
              </w:rPr>
            </w:pPr>
            <w:r w:rsidRPr="000B1BB2">
              <w:rPr>
                <w:rFonts w:ascii="Arial" w:hAnsi="Arial" w:cs="Arial"/>
                <w:color w:val="auto"/>
                <w:sz w:val="18"/>
                <w:szCs w:val="18"/>
              </w:rPr>
              <w:t>20% of gross performance above hurdle rate</w:t>
            </w:r>
            <w:r w:rsidR="007E5F9D" w:rsidRPr="000B1BB2">
              <w:rPr>
                <w:rFonts w:ascii="Arial" w:hAnsi="Arial" w:cs="Arial"/>
                <w:color w:val="auto"/>
                <w:sz w:val="18"/>
                <w:szCs w:val="18"/>
              </w:rPr>
              <w:t xml:space="preserve"> </w:t>
            </w:r>
          </w:p>
        </w:tc>
        <w:tc>
          <w:tcPr>
            <w:tcW w:w="3898" w:type="dxa"/>
            <w:tcBorders>
              <w:top w:val="single" w:sz="2" w:space="0" w:color="A3A3A3"/>
              <w:bottom w:val="single" w:sz="2" w:space="0" w:color="A3A3A3"/>
            </w:tcBorders>
            <w:shd w:val="clear" w:color="auto" w:fill="auto"/>
          </w:tcPr>
          <w:p w14:paraId="669F71DB" w14:textId="4F1ED761" w:rsidR="007E5F9D" w:rsidRPr="000B1BB2" w:rsidRDefault="00446636" w:rsidP="007B2F9B">
            <w:pPr>
              <w:pStyle w:val="TableHeading2"/>
              <w:spacing w:line="240" w:lineRule="auto"/>
              <w:rPr>
                <w:rFonts w:ascii="Arial" w:hAnsi="Arial" w:cs="Arial"/>
                <w:color w:val="auto"/>
                <w:sz w:val="18"/>
                <w:szCs w:val="18"/>
              </w:rPr>
            </w:pPr>
            <w:r w:rsidRPr="000B1BB2">
              <w:rPr>
                <w:rFonts w:ascii="Arial" w:hAnsi="Arial" w:cs="Arial"/>
                <w:color w:val="auto"/>
                <w:sz w:val="18"/>
                <w:szCs w:val="18"/>
              </w:rPr>
              <w:t xml:space="preserve">20.5% </w:t>
            </w:r>
            <w:r w:rsidR="008E2FEA" w:rsidRPr="000B1BB2">
              <w:rPr>
                <w:rFonts w:ascii="Arial" w:hAnsi="Arial" w:cs="Arial"/>
                <w:color w:val="auto"/>
                <w:sz w:val="18"/>
                <w:szCs w:val="18"/>
              </w:rPr>
              <w:t xml:space="preserve">of gross performance above hurdle rate and </w:t>
            </w:r>
            <w:r w:rsidRPr="000B1BB2">
              <w:rPr>
                <w:rFonts w:ascii="Arial" w:hAnsi="Arial" w:cs="Arial"/>
                <w:color w:val="auto"/>
                <w:sz w:val="18"/>
                <w:szCs w:val="18"/>
              </w:rPr>
              <w:t xml:space="preserve">subject to </w:t>
            </w:r>
            <w:r w:rsidR="008E2FEA" w:rsidRPr="000B1BB2">
              <w:rPr>
                <w:rFonts w:ascii="Arial" w:hAnsi="Arial" w:cs="Arial"/>
                <w:color w:val="auto"/>
                <w:sz w:val="18"/>
                <w:szCs w:val="18"/>
              </w:rPr>
              <w:t xml:space="preserve">a </w:t>
            </w:r>
            <w:r w:rsidRPr="000B1BB2">
              <w:rPr>
                <w:rFonts w:ascii="Arial" w:hAnsi="Arial" w:cs="Arial"/>
                <w:color w:val="auto"/>
                <w:sz w:val="18"/>
                <w:szCs w:val="18"/>
              </w:rPr>
              <w:t>high watermark</w:t>
            </w:r>
          </w:p>
        </w:tc>
      </w:tr>
      <w:tr w:rsidR="004C3440" w:rsidRPr="008D492D" w14:paraId="1F49CCDB" w14:textId="77777777" w:rsidTr="00EB612D">
        <w:trPr>
          <w:cantSplit/>
          <w:trHeight w:val="308"/>
        </w:trPr>
        <w:tc>
          <w:tcPr>
            <w:tcW w:w="2410" w:type="dxa"/>
            <w:tcBorders>
              <w:top w:val="single" w:sz="2" w:space="0" w:color="A3A3A3"/>
              <w:bottom w:val="single" w:sz="2" w:space="0" w:color="A3A3A3"/>
            </w:tcBorders>
          </w:tcPr>
          <w:p w14:paraId="5E18EB8A" w14:textId="77777777" w:rsidR="007E5F9D" w:rsidRPr="000B1BB2" w:rsidRDefault="007E5F9D" w:rsidP="007B2F9B">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Indirect transactional &amp; operational costs (estimated)</w:t>
            </w:r>
            <w:r w:rsidRPr="000B1BB2">
              <w:rPr>
                <w:rFonts w:ascii="Arial" w:hAnsi="Arial" w:cs="Arial"/>
                <w:b/>
                <w:bCs/>
                <w:color w:val="auto"/>
                <w:sz w:val="18"/>
                <w:szCs w:val="18"/>
                <w:vertAlign w:val="superscript"/>
              </w:rPr>
              <w:t>3</w:t>
            </w:r>
          </w:p>
        </w:tc>
        <w:tc>
          <w:tcPr>
            <w:tcW w:w="3898" w:type="dxa"/>
            <w:tcBorders>
              <w:top w:val="single" w:sz="2" w:space="0" w:color="A3A3A3"/>
              <w:bottom w:val="single" w:sz="2" w:space="0" w:color="A3A3A3"/>
            </w:tcBorders>
            <w:shd w:val="clear" w:color="auto" w:fill="auto"/>
          </w:tcPr>
          <w:p w14:paraId="7D10F7D4" w14:textId="6D3984F8" w:rsidR="007E5F9D" w:rsidRPr="000B1BB2" w:rsidRDefault="007E5F9D" w:rsidP="007B2F9B">
            <w:pPr>
              <w:pStyle w:val="TableHeading2"/>
              <w:spacing w:line="240" w:lineRule="auto"/>
              <w:rPr>
                <w:rFonts w:ascii="Arial" w:hAnsi="Arial" w:cs="Arial"/>
                <w:color w:val="auto"/>
                <w:sz w:val="18"/>
                <w:szCs w:val="18"/>
              </w:rPr>
            </w:pPr>
            <w:r w:rsidRPr="000B1BB2">
              <w:rPr>
                <w:rFonts w:ascii="Arial" w:hAnsi="Arial" w:cs="Arial"/>
                <w:color w:val="auto"/>
                <w:sz w:val="18"/>
                <w:szCs w:val="18"/>
              </w:rPr>
              <w:t>0.</w:t>
            </w:r>
            <w:r w:rsidR="00446636" w:rsidRPr="000B1BB2">
              <w:rPr>
                <w:rFonts w:ascii="Arial" w:hAnsi="Arial" w:cs="Arial"/>
                <w:color w:val="auto"/>
                <w:sz w:val="18"/>
                <w:szCs w:val="18"/>
              </w:rPr>
              <w:t>29</w:t>
            </w:r>
            <w:r w:rsidRPr="000B1BB2">
              <w:rPr>
                <w:rFonts w:ascii="Arial" w:hAnsi="Arial" w:cs="Arial"/>
                <w:color w:val="auto"/>
                <w:sz w:val="18"/>
                <w:szCs w:val="18"/>
              </w:rPr>
              <w:t>% p.a.</w:t>
            </w:r>
          </w:p>
        </w:tc>
        <w:tc>
          <w:tcPr>
            <w:tcW w:w="3898" w:type="dxa"/>
            <w:tcBorders>
              <w:top w:val="single" w:sz="2" w:space="0" w:color="A3A3A3"/>
              <w:bottom w:val="single" w:sz="2" w:space="0" w:color="A3A3A3"/>
            </w:tcBorders>
            <w:shd w:val="clear" w:color="auto" w:fill="auto"/>
          </w:tcPr>
          <w:p w14:paraId="0F007309" w14:textId="52AF0B0A" w:rsidR="007E5F9D" w:rsidRPr="000B1BB2" w:rsidRDefault="007E5F9D" w:rsidP="007B2F9B">
            <w:pPr>
              <w:pStyle w:val="TableHeading2"/>
              <w:spacing w:line="240" w:lineRule="auto"/>
              <w:rPr>
                <w:rFonts w:ascii="Arial" w:hAnsi="Arial" w:cs="Arial"/>
                <w:color w:val="auto"/>
                <w:sz w:val="18"/>
                <w:szCs w:val="18"/>
              </w:rPr>
            </w:pPr>
            <w:r w:rsidRPr="000B1BB2">
              <w:rPr>
                <w:rFonts w:ascii="Arial" w:hAnsi="Arial" w:cs="Arial"/>
                <w:color w:val="auto"/>
                <w:sz w:val="18"/>
                <w:szCs w:val="18"/>
              </w:rPr>
              <w:t>0.</w:t>
            </w:r>
            <w:r w:rsidR="00446636" w:rsidRPr="000B1BB2">
              <w:rPr>
                <w:rFonts w:ascii="Arial" w:hAnsi="Arial" w:cs="Arial"/>
                <w:color w:val="auto"/>
                <w:sz w:val="18"/>
                <w:szCs w:val="18"/>
              </w:rPr>
              <w:t>29</w:t>
            </w:r>
            <w:r w:rsidRPr="000B1BB2">
              <w:rPr>
                <w:rFonts w:ascii="Arial" w:hAnsi="Arial" w:cs="Arial"/>
                <w:color w:val="auto"/>
                <w:sz w:val="18"/>
                <w:szCs w:val="18"/>
              </w:rPr>
              <w:t>% p.a.</w:t>
            </w:r>
          </w:p>
        </w:tc>
      </w:tr>
      <w:tr w:rsidR="004C3440" w:rsidRPr="008D492D" w14:paraId="3579ECA0" w14:textId="77777777" w:rsidTr="00EB612D">
        <w:trPr>
          <w:cantSplit/>
          <w:trHeight w:val="308"/>
        </w:trPr>
        <w:tc>
          <w:tcPr>
            <w:tcW w:w="2410" w:type="dxa"/>
            <w:tcBorders>
              <w:top w:val="single" w:sz="2" w:space="0" w:color="A3A3A3"/>
              <w:bottom w:val="single" w:sz="2" w:space="0" w:color="A3A3A3"/>
            </w:tcBorders>
          </w:tcPr>
          <w:p w14:paraId="6D44A3F4" w14:textId="18F11702" w:rsidR="007E5F9D" w:rsidRPr="000B1BB2" w:rsidRDefault="007E5F9D" w:rsidP="007B2F9B">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Underlying strategy returns (pre-tax and after investment fees</w:t>
            </w:r>
            <w:r w:rsidR="008E2FEA" w:rsidRPr="000B1BB2">
              <w:rPr>
                <w:rFonts w:ascii="Arial" w:hAnsi="Arial" w:cs="Arial"/>
                <w:b/>
                <w:bCs/>
                <w:color w:val="auto"/>
                <w:sz w:val="18"/>
                <w:szCs w:val="18"/>
              </w:rPr>
              <w:t xml:space="preserve"> to 31 March 2025</w:t>
            </w:r>
            <w:r w:rsidRPr="000B1BB2">
              <w:rPr>
                <w:rFonts w:ascii="Arial" w:hAnsi="Arial" w:cs="Arial"/>
                <w:b/>
                <w:bCs/>
                <w:color w:val="auto"/>
                <w:sz w:val="18"/>
                <w:szCs w:val="18"/>
              </w:rPr>
              <w:t xml:space="preserve">) </w:t>
            </w:r>
          </w:p>
        </w:tc>
        <w:tc>
          <w:tcPr>
            <w:tcW w:w="3898" w:type="dxa"/>
            <w:tcBorders>
              <w:top w:val="single" w:sz="2" w:space="0" w:color="A3A3A3"/>
              <w:bottom w:val="single" w:sz="2" w:space="0" w:color="A3A3A3"/>
            </w:tcBorders>
            <w:shd w:val="clear" w:color="auto" w:fill="auto"/>
          </w:tcPr>
          <w:p w14:paraId="7D52C2E5" w14:textId="58D882C1" w:rsidR="007E5F9D" w:rsidRPr="000B1BB2" w:rsidRDefault="007E5F9D" w:rsidP="007B2F9B">
            <w:pPr>
              <w:spacing w:line="240" w:lineRule="auto"/>
              <w:rPr>
                <w:rFonts w:ascii="Arial" w:hAnsi="Arial" w:cs="Arial"/>
                <w:color w:val="auto"/>
                <w:sz w:val="18"/>
                <w:szCs w:val="18"/>
              </w:rPr>
            </w:pPr>
            <w:r w:rsidRPr="000B1BB2">
              <w:rPr>
                <w:rFonts w:ascii="Arial" w:hAnsi="Arial" w:cs="Arial"/>
                <w:color w:val="auto"/>
                <w:sz w:val="18"/>
                <w:szCs w:val="18"/>
              </w:rPr>
              <w:t xml:space="preserve">1 year: </w:t>
            </w:r>
            <w:r w:rsidR="00110DF4" w:rsidRPr="000B1BB2">
              <w:rPr>
                <w:rFonts w:ascii="Arial" w:hAnsi="Arial" w:cs="Arial"/>
                <w:color w:val="auto"/>
                <w:sz w:val="18"/>
                <w:szCs w:val="18"/>
              </w:rPr>
              <w:t>26.74</w:t>
            </w:r>
            <w:r w:rsidRPr="000B1BB2">
              <w:rPr>
                <w:rFonts w:ascii="Arial" w:hAnsi="Arial" w:cs="Arial"/>
                <w:color w:val="auto"/>
                <w:sz w:val="18"/>
                <w:szCs w:val="18"/>
              </w:rPr>
              <w:t>%</w:t>
            </w:r>
          </w:p>
          <w:p w14:paraId="6B0BC3C0" w14:textId="4444C5AD" w:rsidR="007E5F9D" w:rsidRPr="000B1BB2" w:rsidRDefault="007E5F9D" w:rsidP="007B2F9B">
            <w:pPr>
              <w:spacing w:line="240" w:lineRule="auto"/>
              <w:rPr>
                <w:rFonts w:ascii="Arial" w:hAnsi="Arial" w:cs="Arial"/>
                <w:color w:val="auto"/>
                <w:sz w:val="18"/>
                <w:szCs w:val="18"/>
              </w:rPr>
            </w:pPr>
            <w:r w:rsidRPr="000B1BB2">
              <w:rPr>
                <w:rFonts w:ascii="Arial" w:hAnsi="Arial" w:cs="Arial"/>
                <w:color w:val="auto"/>
                <w:sz w:val="18"/>
                <w:szCs w:val="18"/>
              </w:rPr>
              <w:t xml:space="preserve">3 years: </w:t>
            </w:r>
            <w:r w:rsidR="00110DF4" w:rsidRPr="000B1BB2">
              <w:rPr>
                <w:rFonts w:ascii="Arial" w:hAnsi="Arial" w:cs="Arial"/>
                <w:color w:val="auto"/>
                <w:sz w:val="18"/>
                <w:szCs w:val="18"/>
              </w:rPr>
              <w:t>3.74</w:t>
            </w:r>
            <w:r w:rsidRPr="000B1BB2">
              <w:rPr>
                <w:rFonts w:ascii="Arial" w:hAnsi="Arial" w:cs="Arial"/>
                <w:color w:val="auto"/>
                <w:sz w:val="18"/>
                <w:szCs w:val="18"/>
              </w:rPr>
              <w:t>% p.a.</w:t>
            </w:r>
          </w:p>
          <w:p w14:paraId="3D6180A1" w14:textId="3998DA89" w:rsidR="007E5F9D" w:rsidRPr="000B1BB2" w:rsidRDefault="007E5F9D" w:rsidP="007B2F9B">
            <w:pPr>
              <w:pStyle w:val="TableHeading2"/>
              <w:spacing w:line="240" w:lineRule="auto"/>
              <w:rPr>
                <w:rFonts w:ascii="Arial" w:hAnsi="Arial" w:cs="Arial"/>
                <w:color w:val="auto"/>
                <w:sz w:val="18"/>
                <w:szCs w:val="18"/>
              </w:rPr>
            </w:pPr>
            <w:r w:rsidRPr="000B1BB2">
              <w:rPr>
                <w:rFonts w:ascii="Arial" w:hAnsi="Arial" w:cs="Arial"/>
                <w:color w:val="auto"/>
                <w:sz w:val="18"/>
                <w:szCs w:val="18"/>
              </w:rPr>
              <w:t xml:space="preserve">5 years: </w:t>
            </w:r>
            <w:r w:rsidR="00110DF4" w:rsidRPr="000B1BB2">
              <w:rPr>
                <w:rFonts w:ascii="Arial" w:hAnsi="Arial" w:cs="Arial"/>
                <w:color w:val="auto"/>
                <w:sz w:val="18"/>
                <w:szCs w:val="18"/>
              </w:rPr>
              <w:t>7.90</w:t>
            </w:r>
            <w:r w:rsidRPr="000B1BB2">
              <w:rPr>
                <w:rFonts w:ascii="Arial" w:hAnsi="Arial" w:cs="Arial"/>
                <w:color w:val="auto"/>
                <w:sz w:val="18"/>
                <w:szCs w:val="18"/>
              </w:rPr>
              <w:t>% p.a.</w:t>
            </w:r>
          </w:p>
        </w:tc>
        <w:tc>
          <w:tcPr>
            <w:tcW w:w="3898" w:type="dxa"/>
            <w:tcBorders>
              <w:top w:val="single" w:sz="2" w:space="0" w:color="A3A3A3"/>
              <w:bottom w:val="single" w:sz="2" w:space="0" w:color="A3A3A3"/>
            </w:tcBorders>
            <w:shd w:val="clear" w:color="auto" w:fill="auto"/>
          </w:tcPr>
          <w:p w14:paraId="60907F45" w14:textId="380494CF" w:rsidR="007E5F9D" w:rsidRPr="000B1BB2" w:rsidRDefault="007E5F9D" w:rsidP="007B2F9B">
            <w:pPr>
              <w:spacing w:line="240" w:lineRule="auto"/>
              <w:rPr>
                <w:rFonts w:ascii="Arial" w:hAnsi="Arial" w:cs="Arial"/>
                <w:color w:val="auto"/>
                <w:sz w:val="18"/>
                <w:szCs w:val="18"/>
              </w:rPr>
            </w:pPr>
            <w:r w:rsidRPr="000B1BB2">
              <w:rPr>
                <w:rFonts w:ascii="Arial" w:hAnsi="Arial" w:cs="Arial"/>
                <w:color w:val="auto"/>
                <w:sz w:val="18"/>
                <w:szCs w:val="18"/>
              </w:rPr>
              <w:t xml:space="preserve">1 year: </w:t>
            </w:r>
            <w:r w:rsidR="003B07EE" w:rsidRPr="000B1BB2">
              <w:rPr>
                <w:rFonts w:ascii="Arial" w:hAnsi="Arial" w:cs="Arial"/>
                <w:color w:val="auto"/>
                <w:sz w:val="18"/>
                <w:szCs w:val="18"/>
              </w:rPr>
              <w:t>-4.0</w:t>
            </w:r>
            <w:r w:rsidR="00110DF4" w:rsidRPr="000B1BB2">
              <w:rPr>
                <w:rFonts w:ascii="Arial" w:hAnsi="Arial" w:cs="Arial"/>
                <w:color w:val="auto"/>
                <w:sz w:val="18"/>
                <w:szCs w:val="18"/>
              </w:rPr>
              <w:t>1</w:t>
            </w:r>
            <w:r w:rsidRPr="000B1BB2">
              <w:rPr>
                <w:rFonts w:ascii="Arial" w:hAnsi="Arial" w:cs="Arial"/>
                <w:color w:val="auto"/>
                <w:sz w:val="18"/>
                <w:szCs w:val="18"/>
              </w:rPr>
              <w:t>%</w:t>
            </w:r>
          </w:p>
          <w:p w14:paraId="226F71A7" w14:textId="22CD9747" w:rsidR="007E5F9D" w:rsidRPr="000B1BB2" w:rsidRDefault="007E5F9D" w:rsidP="007B2F9B">
            <w:pPr>
              <w:spacing w:line="240" w:lineRule="auto"/>
              <w:rPr>
                <w:rFonts w:ascii="Arial" w:hAnsi="Arial" w:cs="Arial"/>
                <w:color w:val="auto"/>
                <w:sz w:val="18"/>
                <w:szCs w:val="18"/>
              </w:rPr>
            </w:pPr>
            <w:r w:rsidRPr="000B1BB2">
              <w:rPr>
                <w:rFonts w:ascii="Arial" w:hAnsi="Arial" w:cs="Arial"/>
                <w:color w:val="auto"/>
                <w:sz w:val="18"/>
                <w:szCs w:val="18"/>
              </w:rPr>
              <w:t xml:space="preserve">3 years: </w:t>
            </w:r>
            <w:r w:rsidR="00110DF4" w:rsidRPr="000B1BB2">
              <w:rPr>
                <w:rFonts w:ascii="Arial" w:hAnsi="Arial" w:cs="Arial"/>
                <w:color w:val="auto"/>
                <w:sz w:val="18"/>
                <w:szCs w:val="18"/>
              </w:rPr>
              <w:t>2.71</w:t>
            </w:r>
            <w:r w:rsidRPr="000B1BB2">
              <w:rPr>
                <w:rFonts w:ascii="Arial" w:hAnsi="Arial" w:cs="Arial"/>
                <w:color w:val="auto"/>
                <w:sz w:val="18"/>
                <w:szCs w:val="18"/>
              </w:rPr>
              <w:t>% p.a.</w:t>
            </w:r>
          </w:p>
          <w:p w14:paraId="2867E99D" w14:textId="44313C9C" w:rsidR="007E5F9D" w:rsidRPr="000B1BB2" w:rsidRDefault="007E5F9D" w:rsidP="007B2F9B">
            <w:pPr>
              <w:pStyle w:val="TableHeading2"/>
              <w:spacing w:line="240" w:lineRule="auto"/>
              <w:rPr>
                <w:rFonts w:ascii="Arial" w:hAnsi="Arial" w:cs="Arial"/>
                <w:color w:val="auto"/>
                <w:sz w:val="18"/>
                <w:szCs w:val="18"/>
              </w:rPr>
            </w:pPr>
            <w:r w:rsidRPr="000B1BB2">
              <w:rPr>
                <w:rFonts w:ascii="Arial" w:hAnsi="Arial" w:cs="Arial"/>
                <w:color w:val="auto"/>
                <w:sz w:val="18"/>
                <w:szCs w:val="18"/>
              </w:rPr>
              <w:t xml:space="preserve">5 years: </w:t>
            </w:r>
            <w:r w:rsidR="00110DF4" w:rsidRPr="000B1BB2">
              <w:rPr>
                <w:rFonts w:ascii="Arial" w:hAnsi="Arial" w:cs="Arial"/>
                <w:color w:val="auto"/>
                <w:sz w:val="18"/>
                <w:szCs w:val="18"/>
              </w:rPr>
              <w:t>24.32</w:t>
            </w:r>
            <w:r w:rsidRPr="000B1BB2">
              <w:rPr>
                <w:rFonts w:ascii="Arial" w:hAnsi="Arial" w:cs="Arial"/>
                <w:color w:val="auto"/>
                <w:sz w:val="18"/>
                <w:szCs w:val="18"/>
              </w:rPr>
              <w:t>% p.a.</w:t>
            </w:r>
          </w:p>
        </w:tc>
      </w:tr>
      <w:tr w:rsidR="004C3440" w:rsidRPr="008D492D" w14:paraId="5394B739" w14:textId="77777777" w:rsidTr="00965114">
        <w:trPr>
          <w:cantSplit/>
          <w:trHeight w:val="308"/>
        </w:trPr>
        <w:tc>
          <w:tcPr>
            <w:tcW w:w="2410" w:type="dxa"/>
            <w:tcBorders>
              <w:top w:val="single" w:sz="2" w:space="0" w:color="A3A3A3"/>
              <w:bottom w:val="single" w:sz="2" w:space="0" w:color="A3A3A3"/>
            </w:tcBorders>
          </w:tcPr>
          <w:p w14:paraId="21777FA2" w14:textId="6A99B5D9" w:rsidR="007E5F9D" w:rsidRPr="000B1BB2" w:rsidRDefault="007E5F9D" w:rsidP="007B2F9B">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Zenith rating</w:t>
            </w:r>
            <w:r w:rsidR="00965114" w:rsidRPr="000B1BB2">
              <w:rPr>
                <w:rFonts w:ascii="Arial" w:hAnsi="Arial" w:cs="Arial"/>
                <w:b/>
                <w:bCs/>
                <w:color w:val="auto"/>
                <w:sz w:val="18"/>
                <w:szCs w:val="18"/>
              </w:rPr>
              <w:t xml:space="preserve"> (underlying strategy)</w:t>
            </w:r>
          </w:p>
        </w:tc>
        <w:tc>
          <w:tcPr>
            <w:tcW w:w="3898" w:type="dxa"/>
            <w:tcBorders>
              <w:top w:val="single" w:sz="2" w:space="0" w:color="A3A3A3"/>
              <w:bottom w:val="single" w:sz="2" w:space="0" w:color="A3A3A3"/>
            </w:tcBorders>
            <w:shd w:val="clear" w:color="auto" w:fill="auto"/>
          </w:tcPr>
          <w:p w14:paraId="00682499" w14:textId="2C9E2DEC" w:rsidR="007E5F9D" w:rsidRPr="000B1BB2" w:rsidRDefault="003B07EE" w:rsidP="007B2F9B">
            <w:pPr>
              <w:pStyle w:val="TableHeading2"/>
              <w:spacing w:line="240" w:lineRule="auto"/>
              <w:rPr>
                <w:rFonts w:ascii="Arial" w:hAnsi="Arial" w:cs="Arial"/>
                <w:color w:val="auto"/>
                <w:sz w:val="18"/>
                <w:szCs w:val="18"/>
              </w:rPr>
            </w:pPr>
            <w:r w:rsidRPr="000B1BB2">
              <w:rPr>
                <w:rFonts w:ascii="Arial" w:hAnsi="Arial" w:cs="Arial"/>
                <w:color w:val="auto"/>
                <w:sz w:val="18"/>
                <w:szCs w:val="18"/>
              </w:rPr>
              <w:t xml:space="preserve">Highly </w:t>
            </w:r>
            <w:r w:rsidR="007E5F9D" w:rsidRPr="000B1BB2">
              <w:rPr>
                <w:rFonts w:ascii="Arial" w:hAnsi="Arial" w:cs="Arial"/>
                <w:color w:val="auto"/>
                <w:sz w:val="18"/>
                <w:szCs w:val="18"/>
              </w:rPr>
              <w:t>Recommended</w:t>
            </w:r>
          </w:p>
        </w:tc>
        <w:tc>
          <w:tcPr>
            <w:tcW w:w="3898" w:type="dxa"/>
            <w:tcBorders>
              <w:top w:val="single" w:sz="2" w:space="0" w:color="A3A3A3"/>
              <w:bottom w:val="single" w:sz="2" w:space="0" w:color="A3A3A3"/>
            </w:tcBorders>
            <w:shd w:val="clear" w:color="auto" w:fill="auto"/>
          </w:tcPr>
          <w:p w14:paraId="3650C4A5" w14:textId="77777777" w:rsidR="007E5F9D" w:rsidRPr="000B1BB2" w:rsidRDefault="007E5F9D" w:rsidP="007B2F9B">
            <w:pPr>
              <w:pStyle w:val="TableHeading2"/>
              <w:spacing w:line="240" w:lineRule="auto"/>
              <w:rPr>
                <w:rFonts w:ascii="Arial" w:hAnsi="Arial" w:cs="Arial"/>
                <w:color w:val="auto"/>
                <w:sz w:val="18"/>
                <w:szCs w:val="18"/>
              </w:rPr>
            </w:pPr>
            <w:r w:rsidRPr="000B1BB2">
              <w:rPr>
                <w:rFonts w:ascii="Arial" w:hAnsi="Arial" w:cs="Arial"/>
                <w:color w:val="auto"/>
                <w:sz w:val="18"/>
                <w:szCs w:val="18"/>
              </w:rPr>
              <w:t>Recommended</w:t>
            </w:r>
          </w:p>
        </w:tc>
      </w:tr>
      <w:tr w:rsidR="004C3440" w:rsidRPr="008D492D" w14:paraId="77EDA06A" w14:textId="77777777" w:rsidTr="00965114">
        <w:trPr>
          <w:cantSplit/>
          <w:trHeight w:val="308"/>
        </w:trPr>
        <w:tc>
          <w:tcPr>
            <w:tcW w:w="2410" w:type="dxa"/>
            <w:tcBorders>
              <w:top w:val="single" w:sz="2" w:space="0" w:color="A3A3A3"/>
              <w:bottom w:val="single" w:sz="2" w:space="0" w:color="A3A3A3"/>
            </w:tcBorders>
          </w:tcPr>
          <w:p w14:paraId="1C6048AE" w14:textId="7F93BAAF" w:rsidR="00965114" w:rsidRPr="000B1BB2" w:rsidRDefault="00965114" w:rsidP="00965114">
            <w:pPr>
              <w:pStyle w:val="Table"/>
              <w:spacing w:line="240" w:lineRule="auto"/>
              <w:rPr>
                <w:rFonts w:ascii="Arial" w:hAnsi="Arial" w:cs="Arial"/>
                <w:b/>
                <w:bCs/>
                <w:color w:val="auto"/>
                <w:sz w:val="18"/>
                <w:szCs w:val="18"/>
              </w:rPr>
            </w:pPr>
            <w:r w:rsidRPr="000B1BB2">
              <w:rPr>
                <w:rFonts w:ascii="Arial" w:hAnsi="Arial" w:cs="Arial"/>
                <w:b/>
                <w:bCs/>
                <w:color w:val="auto"/>
                <w:sz w:val="18"/>
                <w:szCs w:val="18"/>
              </w:rPr>
              <w:t>Lonsec rating (underlying strategy)</w:t>
            </w:r>
          </w:p>
        </w:tc>
        <w:tc>
          <w:tcPr>
            <w:tcW w:w="3898" w:type="dxa"/>
            <w:tcBorders>
              <w:top w:val="single" w:sz="2" w:space="0" w:color="A3A3A3"/>
              <w:bottom w:val="single" w:sz="2" w:space="0" w:color="A3A3A3"/>
            </w:tcBorders>
            <w:shd w:val="clear" w:color="auto" w:fill="auto"/>
          </w:tcPr>
          <w:p w14:paraId="34D0EB04" w14:textId="2FEF00E5" w:rsidR="00965114" w:rsidRPr="000B1BB2" w:rsidRDefault="00965114" w:rsidP="00965114">
            <w:pPr>
              <w:pStyle w:val="TableHeading2"/>
              <w:spacing w:line="240" w:lineRule="auto"/>
              <w:rPr>
                <w:rFonts w:ascii="Arial" w:hAnsi="Arial" w:cs="Arial"/>
                <w:color w:val="auto"/>
                <w:sz w:val="18"/>
                <w:szCs w:val="18"/>
              </w:rPr>
            </w:pPr>
            <w:r w:rsidRPr="000B1BB2">
              <w:rPr>
                <w:rFonts w:ascii="Arial" w:hAnsi="Arial" w:cs="Arial"/>
                <w:color w:val="auto"/>
                <w:sz w:val="18"/>
                <w:szCs w:val="18"/>
              </w:rPr>
              <w:t>Recommended</w:t>
            </w:r>
          </w:p>
        </w:tc>
        <w:tc>
          <w:tcPr>
            <w:tcW w:w="3898" w:type="dxa"/>
            <w:tcBorders>
              <w:top w:val="single" w:sz="2" w:space="0" w:color="A3A3A3"/>
              <w:bottom w:val="single" w:sz="2" w:space="0" w:color="A3A3A3"/>
            </w:tcBorders>
            <w:shd w:val="clear" w:color="auto" w:fill="auto"/>
          </w:tcPr>
          <w:p w14:paraId="4DD4CDF2" w14:textId="52F4E0A2" w:rsidR="00965114" w:rsidRPr="000B1BB2" w:rsidRDefault="00965114" w:rsidP="00965114">
            <w:pPr>
              <w:pStyle w:val="TableHeading2"/>
              <w:spacing w:line="240" w:lineRule="auto"/>
              <w:rPr>
                <w:rFonts w:ascii="Arial" w:hAnsi="Arial" w:cs="Arial"/>
                <w:color w:val="auto"/>
                <w:sz w:val="18"/>
                <w:szCs w:val="18"/>
              </w:rPr>
            </w:pPr>
            <w:r w:rsidRPr="000B1BB2">
              <w:rPr>
                <w:rFonts w:ascii="Arial" w:hAnsi="Arial" w:cs="Arial"/>
                <w:color w:val="auto"/>
                <w:sz w:val="18"/>
                <w:szCs w:val="18"/>
              </w:rPr>
              <w:t>Recommended</w:t>
            </w:r>
          </w:p>
        </w:tc>
      </w:tr>
    </w:tbl>
    <w:p w14:paraId="155D6D9C" w14:textId="77777777" w:rsidR="00EB612D" w:rsidRPr="000B1BB2" w:rsidRDefault="00EB612D" w:rsidP="00EB612D">
      <w:pPr>
        <w:pStyle w:val="FootnoteText"/>
        <w:ind w:left="142"/>
        <w:rPr>
          <w:rFonts w:ascii="Arial" w:hAnsi="Arial" w:cs="Arial"/>
          <w:sz w:val="16"/>
          <w:szCs w:val="16"/>
          <w:vertAlign w:val="superscript"/>
        </w:rPr>
      </w:pPr>
    </w:p>
    <w:p w14:paraId="2933013F" w14:textId="0C6B5AEF" w:rsidR="00175F5D" w:rsidRPr="000B1BB2" w:rsidRDefault="00175F5D" w:rsidP="005A784D">
      <w:pPr>
        <w:pStyle w:val="FootnoteText"/>
        <w:numPr>
          <w:ilvl w:val="0"/>
          <w:numId w:val="4"/>
        </w:numPr>
        <w:ind w:left="142" w:hanging="142"/>
        <w:rPr>
          <w:rStyle w:val="FootnoteReference"/>
          <w:rFonts w:ascii="Arial" w:hAnsi="Arial" w:cs="Arial"/>
          <w:color w:val="auto"/>
          <w:sz w:val="16"/>
          <w:szCs w:val="16"/>
        </w:rPr>
      </w:pPr>
      <w:r w:rsidRPr="000B1BB2">
        <w:rPr>
          <w:rStyle w:val="FootnoteReference"/>
          <w:rFonts w:ascii="Arial" w:hAnsi="Arial" w:cs="Arial"/>
          <w:color w:val="auto"/>
          <w:sz w:val="16"/>
          <w:szCs w:val="16"/>
        </w:rPr>
        <w:t>The risk level is based on the Standard Risk Measure which allows investors to compare investment options (refer to the Product Disclosure Statement for more information about the risks of investing).</w:t>
      </w:r>
    </w:p>
    <w:p w14:paraId="24117787" w14:textId="0D8C351B" w:rsidR="00422A2F" w:rsidRPr="000B1BB2" w:rsidRDefault="00422A2F" w:rsidP="005A784D">
      <w:pPr>
        <w:pStyle w:val="FootnoteText"/>
        <w:numPr>
          <w:ilvl w:val="0"/>
          <w:numId w:val="4"/>
        </w:numPr>
        <w:ind w:left="142" w:hanging="142"/>
        <w:rPr>
          <w:rStyle w:val="FootnoteReference"/>
          <w:rFonts w:ascii="Arial" w:hAnsi="Arial" w:cs="Arial"/>
          <w:color w:val="auto"/>
          <w:sz w:val="16"/>
          <w:szCs w:val="16"/>
        </w:rPr>
      </w:pPr>
      <w:r w:rsidRPr="000B1BB2">
        <w:rPr>
          <w:rStyle w:val="FootnoteReference"/>
          <w:rFonts w:ascii="Arial" w:hAnsi="Arial" w:cs="Arial"/>
          <w:color w:val="auto"/>
          <w:sz w:val="16"/>
          <w:szCs w:val="16"/>
        </w:rPr>
        <w:t>Investment management costs include investment manager</w:t>
      </w:r>
      <w:r w:rsidRPr="000B1BB2">
        <w:rPr>
          <w:rStyle w:val="FootnoteReference"/>
          <w:rFonts w:ascii="Arial" w:hAnsi="Arial" w:cs="Arial" w:hint="eastAsia"/>
          <w:color w:val="auto"/>
          <w:sz w:val="16"/>
          <w:szCs w:val="16"/>
        </w:rPr>
        <w:t>’</w:t>
      </w:r>
      <w:r w:rsidRPr="000B1BB2">
        <w:rPr>
          <w:rStyle w:val="FootnoteReference"/>
          <w:rFonts w:ascii="Arial" w:hAnsi="Arial" w:cs="Arial"/>
          <w:color w:val="auto"/>
          <w:sz w:val="16"/>
          <w:szCs w:val="16"/>
        </w:rPr>
        <w:t xml:space="preserve">s fees, estimated investment expense recoveries and other indirect costs as a percentage of the total average assets of the investment option based on the latest information available, but excludes investment performance fee costs that may be charged or incurred by the investment manager and exclude indirect transaction and operational costs (refer to the Product Disclosure Statement for further information about fees and costs). </w:t>
      </w:r>
    </w:p>
    <w:p w14:paraId="063A6167" w14:textId="1D0E6A15" w:rsidR="00422A2F" w:rsidRPr="000B1BB2" w:rsidRDefault="00422A2F" w:rsidP="005A784D">
      <w:pPr>
        <w:pStyle w:val="FootnoteText"/>
        <w:numPr>
          <w:ilvl w:val="0"/>
          <w:numId w:val="4"/>
        </w:numPr>
        <w:ind w:left="142" w:hanging="142"/>
        <w:rPr>
          <w:rStyle w:val="FootnoteReference"/>
          <w:rFonts w:ascii="Arial" w:hAnsi="Arial" w:cs="Arial"/>
          <w:color w:val="auto"/>
          <w:sz w:val="16"/>
          <w:szCs w:val="16"/>
        </w:rPr>
      </w:pPr>
      <w:r w:rsidRPr="000B1BB2">
        <w:rPr>
          <w:rStyle w:val="FootnoteReference"/>
          <w:rFonts w:ascii="Arial" w:hAnsi="Arial" w:cs="Arial"/>
          <w:color w:val="auto"/>
          <w:sz w:val="16"/>
          <w:szCs w:val="16"/>
        </w:rPr>
        <w:t>Estimate of transactional and operational costs incurred by the investment option are based on the latest available information. These are current estimates that may change.</w:t>
      </w:r>
    </w:p>
    <w:p w14:paraId="00A78FBC" w14:textId="77777777" w:rsidR="005F5FF6" w:rsidRPr="000B1BB2" w:rsidRDefault="005F5FF6" w:rsidP="00734192">
      <w:pPr>
        <w:pStyle w:val="FootnoteText"/>
        <w:rPr>
          <w:rFonts w:ascii="Arial" w:hAnsi="Arial" w:cs="Arial"/>
          <w:sz w:val="16"/>
          <w:szCs w:val="24"/>
        </w:rPr>
      </w:pPr>
    </w:p>
    <w:p w14:paraId="3E1188AC" w14:textId="27125B04" w:rsidR="00E27E5D" w:rsidRPr="000B1BB2" w:rsidRDefault="00E27E5D" w:rsidP="00E27E5D">
      <w:pPr>
        <w:ind w:right="-75"/>
        <w:rPr>
          <w:rFonts w:ascii="Arial" w:hAnsi="Arial" w:cs="Arial"/>
          <w:b/>
          <w:bCs/>
          <w:color w:val="2B41B1"/>
          <w:sz w:val="18"/>
          <w:szCs w:val="18"/>
        </w:rPr>
      </w:pPr>
      <w:r w:rsidRPr="000B1BB2">
        <w:rPr>
          <w:rFonts w:ascii="Arial" w:hAnsi="Arial" w:cs="Arial"/>
          <w:b/>
          <w:bCs/>
          <w:color w:val="2B41B1"/>
          <w:sz w:val="18"/>
          <w:szCs w:val="18"/>
        </w:rPr>
        <w:t xml:space="preserve">ABOUT THE </w:t>
      </w:r>
      <w:r w:rsidR="00421141" w:rsidRPr="000B1BB2">
        <w:rPr>
          <w:rFonts w:ascii="Arial" w:hAnsi="Arial" w:cs="Arial"/>
          <w:b/>
          <w:bCs/>
          <w:color w:val="2B41B1"/>
          <w:sz w:val="18"/>
          <w:szCs w:val="18"/>
        </w:rPr>
        <w:t>YARRA ENHANCED INCOME FUND</w:t>
      </w:r>
    </w:p>
    <w:p w14:paraId="41B50FAB" w14:textId="77777777" w:rsidR="00E27E5D" w:rsidRPr="000B1BB2" w:rsidRDefault="00E27E5D" w:rsidP="00E27E5D">
      <w:pPr>
        <w:ind w:right="-75"/>
        <w:rPr>
          <w:rFonts w:ascii="Arial" w:hAnsi="Arial" w:cs="Arial"/>
          <w:b/>
          <w:bCs/>
          <w:color w:val="auto"/>
          <w:sz w:val="18"/>
          <w:szCs w:val="18"/>
        </w:rPr>
      </w:pPr>
      <w:r w:rsidRPr="000B1BB2">
        <w:rPr>
          <w:rFonts w:ascii="Arial" w:hAnsi="Arial" w:cs="Arial"/>
          <w:b/>
          <w:bCs/>
          <w:color w:val="auto"/>
          <w:sz w:val="18"/>
          <w:szCs w:val="18"/>
        </w:rPr>
        <w:t>What is the strategy?</w:t>
      </w:r>
    </w:p>
    <w:p w14:paraId="3CB7E805" w14:textId="4D086FDC" w:rsidR="003B07EE" w:rsidRPr="000B1BB2" w:rsidRDefault="00093B13" w:rsidP="003B07EE">
      <w:pPr>
        <w:rPr>
          <w:rFonts w:ascii="Arial" w:hAnsi="Arial" w:cs="Arial"/>
          <w:sz w:val="18"/>
          <w:szCs w:val="18"/>
        </w:rPr>
      </w:pPr>
      <w:r w:rsidRPr="000B1BB2">
        <w:rPr>
          <w:rFonts w:ascii="Arial" w:hAnsi="Arial" w:cs="Arial"/>
          <w:sz w:val="18"/>
          <w:szCs w:val="18"/>
        </w:rPr>
        <w:t xml:space="preserve">The </w:t>
      </w:r>
      <w:r w:rsidR="003B07EE" w:rsidRPr="000B1BB2">
        <w:rPr>
          <w:rFonts w:ascii="Arial" w:hAnsi="Arial" w:cs="Arial"/>
          <w:sz w:val="18"/>
          <w:szCs w:val="18"/>
        </w:rPr>
        <w:t xml:space="preserve">L1 Capital Long Short Fund is an absolute return fund that offers investors a highly diversified portfolio of long and short positions based on rigorous, fundamental research process. The L1 Capital Long Short </w:t>
      </w:r>
      <w:r w:rsidR="00EB612D" w:rsidRPr="000B1BB2">
        <w:rPr>
          <w:rFonts w:ascii="Arial" w:hAnsi="Arial" w:cs="Arial"/>
          <w:sz w:val="18"/>
          <w:szCs w:val="18"/>
        </w:rPr>
        <w:t>s</w:t>
      </w:r>
      <w:r w:rsidR="003B07EE" w:rsidRPr="000B1BB2">
        <w:rPr>
          <w:rFonts w:ascii="Arial" w:hAnsi="Arial" w:cs="Arial"/>
          <w:sz w:val="18"/>
          <w:szCs w:val="18"/>
        </w:rPr>
        <w:t>trategy has three enduring advantages:</w:t>
      </w:r>
    </w:p>
    <w:p w14:paraId="764CD7D6" w14:textId="1ED5BB1D" w:rsidR="003B07EE" w:rsidRPr="000B1BB2" w:rsidRDefault="003B07EE" w:rsidP="003B07EE">
      <w:pPr>
        <w:numPr>
          <w:ilvl w:val="0"/>
          <w:numId w:val="2"/>
        </w:numPr>
        <w:rPr>
          <w:rFonts w:ascii="Arial" w:hAnsi="Arial" w:cs="Arial"/>
          <w:sz w:val="18"/>
          <w:szCs w:val="18"/>
        </w:rPr>
      </w:pPr>
      <w:r w:rsidRPr="000B1BB2">
        <w:rPr>
          <w:rFonts w:ascii="Arial" w:hAnsi="Arial" w:cs="Arial"/>
          <w:b/>
          <w:bCs/>
          <w:sz w:val="18"/>
          <w:szCs w:val="18"/>
        </w:rPr>
        <w:t>Market exposure</w:t>
      </w:r>
      <w:r w:rsidRPr="000B1BB2">
        <w:rPr>
          <w:rFonts w:ascii="Arial" w:hAnsi="Arial" w:cs="Arial"/>
          <w:sz w:val="18"/>
          <w:szCs w:val="18"/>
        </w:rPr>
        <w:t xml:space="preserve">: </w:t>
      </w:r>
      <w:r w:rsidR="008E2FEA" w:rsidRPr="000B1BB2">
        <w:rPr>
          <w:rFonts w:ascii="Arial" w:hAnsi="Arial" w:cs="Arial"/>
          <w:sz w:val="18"/>
          <w:szCs w:val="18"/>
        </w:rPr>
        <w:t>The manager</w:t>
      </w:r>
      <w:r w:rsidR="000B1BB2">
        <w:rPr>
          <w:rFonts w:ascii="Arial" w:hAnsi="Arial" w:cs="Arial"/>
          <w:sz w:val="18"/>
          <w:szCs w:val="18"/>
        </w:rPr>
        <w:t>’s</w:t>
      </w:r>
      <w:r w:rsidR="00EB612D" w:rsidRPr="000B1BB2">
        <w:rPr>
          <w:rFonts w:ascii="Arial" w:hAnsi="Arial" w:cs="Arial"/>
          <w:sz w:val="18"/>
          <w:szCs w:val="18"/>
        </w:rPr>
        <w:t xml:space="preserve"> investment approach enables the </w:t>
      </w:r>
      <w:r w:rsidRPr="000B1BB2">
        <w:rPr>
          <w:rFonts w:ascii="Arial" w:hAnsi="Arial" w:cs="Arial"/>
          <w:sz w:val="18"/>
          <w:szCs w:val="18"/>
        </w:rPr>
        <w:t xml:space="preserve">portfolio </w:t>
      </w:r>
      <w:r w:rsidR="00EB612D" w:rsidRPr="000B1BB2">
        <w:rPr>
          <w:rFonts w:ascii="Arial" w:hAnsi="Arial" w:cs="Arial"/>
          <w:sz w:val="18"/>
          <w:szCs w:val="18"/>
        </w:rPr>
        <w:t xml:space="preserve">to be adjusted to </w:t>
      </w:r>
      <w:r w:rsidRPr="000B1BB2">
        <w:rPr>
          <w:rFonts w:ascii="Arial" w:hAnsi="Arial" w:cs="Arial"/>
          <w:sz w:val="18"/>
          <w:szCs w:val="18"/>
        </w:rPr>
        <w:t>net long to reflect the risk/reward of the market.</w:t>
      </w:r>
    </w:p>
    <w:p w14:paraId="7D012CA4" w14:textId="7E780D2A" w:rsidR="003B07EE" w:rsidRPr="000B1BB2" w:rsidRDefault="003B07EE" w:rsidP="003B07EE">
      <w:pPr>
        <w:numPr>
          <w:ilvl w:val="0"/>
          <w:numId w:val="2"/>
        </w:numPr>
        <w:rPr>
          <w:rFonts w:ascii="Arial" w:hAnsi="Arial" w:cs="Arial"/>
          <w:sz w:val="18"/>
          <w:szCs w:val="18"/>
        </w:rPr>
      </w:pPr>
      <w:r w:rsidRPr="000B1BB2">
        <w:rPr>
          <w:rFonts w:ascii="Arial" w:hAnsi="Arial" w:cs="Arial"/>
          <w:b/>
          <w:bCs/>
          <w:sz w:val="18"/>
          <w:szCs w:val="18"/>
        </w:rPr>
        <w:t>Shorting</w:t>
      </w:r>
      <w:r w:rsidRPr="000B1BB2">
        <w:rPr>
          <w:rFonts w:ascii="Arial" w:hAnsi="Arial" w:cs="Arial"/>
          <w:sz w:val="18"/>
          <w:szCs w:val="18"/>
        </w:rPr>
        <w:t xml:space="preserve">: </w:t>
      </w:r>
      <w:r w:rsidR="008E2FEA" w:rsidRPr="000B1BB2">
        <w:rPr>
          <w:rFonts w:ascii="Arial" w:hAnsi="Arial" w:cs="Arial"/>
          <w:sz w:val="18"/>
          <w:szCs w:val="18"/>
        </w:rPr>
        <w:t>The fund</w:t>
      </w:r>
      <w:r w:rsidR="000B1BB2">
        <w:rPr>
          <w:rFonts w:ascii="Arial" w:hAnsi="Arial" w:cs="Arial"/>
          <w:sz w:val="18"/>
          <w:szCs w:val="18"/>
        </w:rPr>
        <w:t>’s</w:t>
      </w:r>
      <w:r w:rsidR="008E2FEA" w:rsidRPr="000B1BB2">
        <w:rPr>
          <w:rFonts w:ascii="Arial" w:hAnsi="Arial" w:cs="Arial"/>
          <w:sz w:val="18"/>
          <w:szCs w:val="18"/>
        </w:rPr>
        <w:t xml:space="preserve"> p</w:t>
      </w:r>
      <w:r w:rsidRPr="000B1BB2">
        <w:rPr>
          <w:rFonts w:ascii="Arial" w:hAnsi="Arial" w:cs="Arial"/>
          <w:sz w:val="18"/>
          <w:szCs w:val="18"/>
        </w:rPr>
        <w:t xml:space="preserve">ortfolio </w:t>
      </w:r>
      <w:proofErr w:type="gramStart"/>
      <w:r w:rsidRPr="000B1BB2">
        <w:rPr>
          <w:rFonts w:ascii="Arial" w:hAnsi="Arial" w:cs="Arial"/>
          <w:sz w:val="18"/>
          <w:szCs w:val="18"/>
        </w:rPr>
        <w:t>is able to</w:t>
      </w:r>
      <w:proofErr w:type="gramEnd"/>
      <w:r w:rsidRPr="000B1BB2">
        <w:rPr>
          <w:rFonts w:ascii="Arial" w:hAnsi="Arial" w:cs="Arial"/>
          <w:sz w:val="18"/>
          <w:szCs w:val="18"/>
        </w:rPr>
        <w:t xml:space="preserve"> profit from falling share prices (as well as rising</w:t>
      </w:r>
      <w:r w:rsidR="008E2FEA" w:rsidRPr="000B1BB2">
        <w:rPr>
          <w:rFonts w:ascii="Arial" w:hAnsi="Arial" w:cs="Arial"/>
          <w:sz w:val="18"/>
          <w:szCs w:val="18"/>
        </w:rPr>
        <w:t xml:space="preserve"> prices</w:t>
      </w:r>
      <w:r w:rsidRPr="000B1BB2">
        <w:rPr>
          <w:rFonts w:ascii="Arial" w:hAnsi="Arial" w:cs="Arial"/>
          <w:sz w:val="18"/>
          <w:szCs w:val="18"/>
        </w:rPr>
        <w:t>).</w:t>
      </w:r>
    </w:p>
    <w:p w14:paraId="311A922E" w14:textId="0224C8AC" w:rsidR="003B07EE" w:rsidRPr="000B1BB2" w:rsidRDefault="003B07EE" w:rsidP="003B07EE">
      <w:pPr>
        <w:numPr>
          <w:ilvl w:val="0"/>
          <w:numId w:val="2"/>
        </w:numPr>
        <w:rPr>
          <w:rFonts w:ascii="Arial" w:hAnsi="Arial" w:cs="Arial"/>
          <w:sz w:val="18"/>
          <w:szCs w:val="18"/>
        </w:rPr>
      </w:pPr>
      <w:r w:rsidRPr="000B1BB2">
        <w:rPr>
          <w:rFonts w:ascii="Arial" w:hAnsi="Arial" w:cs="Arial"/>
          <w:b/>
          <w:bCs/>
          <w:sz w:val="18"/>
          <w:szCs w:val="18"/>
        </w:rPr>
        <w:t>International exposure</w:t>
      </w:r>
      <w:r w:rsidRPr="000B1BB2">
        <w:rPr>
          <w:rFonts w:ascii="Arial" w:hAnsi="Arial" w:cs="Arial"/>
          <w:sz w:val="18"/>
          <w:szCs w:val="18"/>
        </w:rPr>
        <w:t xml:space="preserve">: </w:t>
      </w:r>
      <w:r w:rsidR="00EB612D" w:rsidRPr="000B1BB2">
        <w:rPr>
          <w:rFonts w:ascii="Arial" w:hAnsi="Arial" w:cs="Arial"/>
          <w:sz w:val="18"/>
          <w:szCs w:val="18"/>
        </w:rPr>
        <w:t xml:space="preserve">The fund </w:t>
      </w:r>
      <w:proofErr w:type="gramStart"/>
      <w:r w:rsidR="00EB612D" w:rsidRPr="000B1BB2">
        <w:rPr>
          <w:rFonts w:ascii="Arial" w:hAnsi="Arial" w:cs="Arial"/>
          <w:sz w:val="18"/>
          <w:szCs w:val="18"/>
        </w:rPr>
        <w:t>has the ability to</w:t>
      </w:r>
      <w:proofErr w:type="gramEnd"/>
      <w:r w:rsidR="00EB612D" w:rsidRPr="000B1BB2">
        <w:rPr>
          <w:rFonts w:ascii="Arial" w:hAnsi="Arial" w:cs="Arial"/>
          <w:sz w:val="18"/>
          <w:szCs w:val="18"/>
        </w:rPr>
        <w:t xml:space="preserve"> invest in global shares, </w:t>
      </w:r>
      <w:r w:rsidRPr="000B1BB2">
        <w:rPr>
          <w:rFonts w:ascii="Arial" w:hAnsi="Arial" w:cs="Arial"/>
          <w:sz w:val="18"/>
          <w:szCs w:val="18"/>
        </w:rPr>
        <w:t xml:space="preserve">broadening the </w:t>
      </w:r>
      <w:r w:rsidR="00EB612D" w:rsidRPr="000B1BB2">
        <w:rPr>
          <w:rFonts w:ascii="Arial" w:hAnsi="Arial" w:cs="Arial"/>
          <w:sz w:val="18"/>
          <w:szCs w:val="18"/>
        </w:rPr>
        <w:t xml:space="preserve">investment </w:t>
      </w:r>
      <w:r w:rsidRPr="000B1BB2">
        <w:rPr>
          <w:rFonts w:ascii="Arial" w:hAnsi="Arial" w:cs="Arial"/>
          <w:sz w:val="18"/>
          <w:szCs w:val="18"/>
        </w:rPr>
        <w:t xml:space="preserve">opportunity </w:t>
      </w:r>
      <w:r w:rsidR="00EB612D" w:rsidRPr="000B1BB2">
        <w:rPr>
          <w:rFonts w:ascii="Arial" w:hAnsi="Arial" w:cs="Arial"/>
          <w:sz w:val="18"/>
          <w:szCs w:val="18"/>
        </w:rPr>
        <w:t xml:space="preserve">universe </w:t>
      </w:r>
      <w:r w:rsidRPr="000B1BB2">
        <w:rPr>
          <w:rFonts w:ascii="Arial" w:hAnsi="Arial" w:cs="Arial"/>
          <w:sz w:val="18"/>
          <w:szCs w:val="18"/>
        </w:rPr>
        <w:t>beyond the Australian</w:t>
      </w:r>
      <w:r w:rsidR="00EB612D" w:rsidRPr="000B1BB2">
        <w:rPr>
          <w:rFonts w:ascii="Arial" w:hAnsi="Arial" w:cs="Arial"/>
          <w:sz w:val="18"/>
          <w:szCs w:val="18"/>
        </w:rPr>
        <w:t xml:space="preserve"> share</w:t>
      </w:r>
      <w:r w:rsidR="006B3691" w:rsidRPr="000B1BB2">
        <w:rPr>
          <w:rFonts w:ascii="Arial" w:hAnsi="Arial" w:cs="Arial"/>
          <w:sz w:val="18"/>
          <w:szCs w:val="18"/>
        </w:rPr>
        <w:t xml:space="preserve"> </w:t>
      </w:r>
      <w:r w:rsidRPr="000B1BB2">
        <w:rPr>
          <w:rFonts w:ascii="Arial" w:hAnsi="Arial" w:cs="Arial"/>
          <w:sz w:val="18"/>
          <w:szCs w:val="18"/>
        </w:rPr>
        <w:t>market.</w:t>
      </w:r>
    </w:p>
    <w:p w14:paraId="76DE3546" w14:textId="5247A650" w:rsidR="003B07EE" w:rsidRPr="000B1BB2" w:rsidRDefault="00EB612D" w:rsidP="003B07EE">
      <w:pPr>
        <w:rPr>
          <w:rFonts w:ascii="Arial" w:hAnsi="Arial" w:cs="Arial"/>
          <w:sz w:val="18"/>
          <w:szCs w:val="18"/>
        </w:rPr>
      </w:pPr>
      <w:r w:rsidRPr="000B1BB2">
        <w:rPr>
          <w:rFonts w:ascii="Arial" w:hAnsi="Arial" w:cs="Arial"/>
          <w:sz w:val="18"/>
          <w:szCs w:val="18"/>
        </w:rPr>
        <w:t>T</w:t>
      </w:r>
      <w:r w:rsidR="003B07EE" w:rsidRPr="000B1BB2">
        <w:rPr>
          <w:rFonts w:ascii="Arial" w:hAnsi="Arial" w:cs="Arial"/>
          <w:sz w:val="18"/>
          <w:szCs w:val="18"/>
        </w:rPr>
        <w:t>hese three levers</w:t>
      </w:r>
      <w:r w:rsidRPr="000B1BB2">
        <w:rPr>
          <w:rFonts w:ascii="Arial" w:hAnsi="Arial" w:cs="Arial"/>
          <w:sz w:val="18"/>
          <w:szCs w:val="18"/>
        </w:rPr>
        <w:t xml:space="preserve"> are actively used by the manager in addition to </w:t>
      </w:r>
      <w:r w:rsidR="000B1BB2">
        <w:rPr>
          <w:rFonts w:ascii="Arial" w:hAnsi="Arial" w:cs="Arial"/>
          <w:sz w:val="18"/>
          <w:szCs w:val="18"/>
        </w:rPr>
        <w:t xml:space="preserve">its </w:t>
      </w:r>
      <w:r w:rsidRPr="000B1BB2">
        <w:rPr>
          <w:rFonts w:ascii="Arial" w:hAnsi="Arial" w:cs="Arial"/>
          <w:sz w:val="18"/>
          <w:szCs w:val="18"/>
        </w:rPr>
        <w:t>investment team</w:t>
      </w:r>
      <w:r w:rsidR="000B1BB2">
        <w:rPr>
          <w:rFonts w:ascii="Arial" w:hAnsi="Arial" w:cs="Arial"/>
          <w:sz w:val="18"/>
          <w:szCs w:val="18"/>
        </w:rPr>
        <w:t>’s</w:t>
      </w:r>
      <w:r w:rsidRPr="000B1BB2">
        <w:rPr>
          <w:rFonts w:ascii="Arial" w:hAnsi="Arial" w:cs="Arial"/>
          <w:sz w:val="18"/>
          <w:szCs w:val="18"/>
        </w:rPr>
        <w:t xml:space="preserve"> </w:t>
      </w:r>
      <w:r w:rsidR="003B07EE" w:rsidRPr="000B1BB2">
        <w:rPr>
          <w:rFonts w:ascii="Arial" w:hAnsi="Arial" w:cs="Arial"/>
          <w:sz w:val="18"/>
          <w:szCs w:val="18"/>
        </w:rPr>
        <w:t>investment and market insights.</w:t>
      </w:r>
      <w:r w:rsidR="00A333E9">
        <w:rPr>
          <w:rFonts w:ascii="Arial" w:hAnsi="Arial" w:cs="Arial"/>
          <w:sz w:val="18"/>
          <w:szCs w:val="18"/>
        </w:rPr>
        <w:t xml:space="preserve"> </w:t>
      </w:r>
      <w:r w:rsidR="003B07EE" w:rsidRPr="000B1BB2">
        <w:rPr>
          <w:rFonts w:ascii="Arial" w:hAnsi="Arial" w:cs="Arial"/>
          <w:sz w:val="18"/>
          <w:szCs w:val="18"/>
        </w:rPr>
        <w:t>The L1 Capital Long Short Fund</w:t>
      </w:r>
      <w:r w:rsidR="000B1BB2">
        <w:rPr>
          <w:rFonts w:ascii="Arial" w:hAnsi="Arial" w:cs="Arial"/>
          <w:sz w:val="18"/>
          <w:szCs w:val="18"/>
        </w:rPr>
        <w:t>’s</w:t>
      </w:r>
      <w:r w:rsidR="003B07EE" w:rsidRPr="000B1BB2">
        <w:rPr>
          <w:rFonts w:ascii="Arial" w:hAnsi="Arial" w:cs="Arial"/>
          <w:sz w:val="18"/>
          <w:szCs w:val="18"/>
        </w:rPr>
        <w:t xml:space="preserve"> </w:t>
      </w:r>
      <w:r w:rsidRPr="000B1BB2">
        <w:rPr>
          <w:rFonts w:ascii="Arial" w:hAnsi="Arial" w:cs="Arial"/>
          <w:sz w:val="18"/>
          <w:szCs w:val="18"/>
        </w:rPr>
        <w:t xml:space="preserve">investment advantage </w:t>
      </w:r>
      <w:r w:rsidR="003B07EE" w:rsidRPr="000B1BB2">
        <w:rPr>
          <w:rFonts w:ascii="Arial" w:hAnsi="Arial" w:cs="Arial"/>
          <w:sz w:val="18"/>
          <w:szCs w:val="18"/>
        </w:rPr>
        <w:t>comes from:</w:t>
      </w:r>
    </w:p>
    <w:p w14:paraId="45AEBAE3" w14:textId="3979E576" w:rsidR="003B07EE" w:rsidRPr="000B1BB2" w:rsidRDefault="003B07EE" w:rsidP="003B07EE">
      <w:pPr>
        <w:numPr>
          <w:ilvl w:val="0"/>
          <w:numId w:val="3"/>
        </w:numPr>
        <w:rPr>
          <w:rFonts w:ascii="Arial" w:hAnsi="Arial" w:cs="Arial"/>
          <w:sz w:val="18"/>
          <w:szCs w:val="18"/>
        </w:rPr>
      </w:pPr>
      <w:r w:rsidRPr="000B1BB2">
        <w:rPr>
          <w:rFonts w:ascii="Arial" w:hAnsi="Arial" w:cs="Arial"/>
          <w:b/>
          <w:bCs/>
          <w:sz w:val="18"/>
          <w:szCs w:val="18"/>
        </w:rPr>
        <w:t>L1</w:t>
      </w:r>
      <w:r w:rsidR="000B1BB2">
        <w:rPr>
          <w:rFonts w:ascii="Arial" w:hAnsi="Arial" w:cs="Arial"/>
          <w:b/>
          <w:bCs/>
          <w:sz w:val="18"/>
          <w:szCs w:val="18"/>
        </w:rPr>
        <w:t>’s</w:t>
      </w:r>
      <w:r w:rsidRPr="000B1BB2">
        <w:rPr>
          <w:rFonts w:ascii="Arial" w:hAnsi="Arial" w:cs="Arial"/>
          <w:b/>
          <w:bCs/>
          <w:sz w:val="18"/>
          <w:szCs w:val="18"/>
        </w:rPr>
        <w:t xml:space="preserve"> investment </w:t>
      </w:r>
      <w:r w:rsidR="000B1BB2" w:rsidRPr="000B1BB2">
        <w:rPr>
          <w:rFonts w:ascii="Arial" w:hAnsi="Arial" w:cs="Arial"/>
          <w:b/>
          <w:bCs/>
          <w:sz w:val="18"/>
          <w:szCs w:val="18"/>
        </w:rPr>
        <w:t>process</w:t>
      </w:r>
      <w:r w:rsidR="000B1BB2">
        <w:rPr>
          <w:rFonts w:ascii="Arial" w:hAnsi="Arial" w:cs="Arial"/>
          <w:b/>
          <w:bCs/>
          <w:sz w:val="18"/>
          <w:szCs w:val="18"/>
        </w:rPr>
        <w:t xml:space="preserve"> </w:t>
      </w:r>
      <w:r w:rsidRPr="000B1BB2">
        <w:rPr>
          <w:rFonts w:ascii="Arial" w:hAnsi="Arial" w:cs="Arial"/>
          <w:sz w:val="18"/>
          <w:szCs w:val="18"/>
        </w:rPr>
        <w:t>that combines valuation with qualitative considerations to identify attractive investment opportunities. The approach</w:t>
      </w:r>
      <w:r w:rsidR="000B1BB2">
        <w:rPr>
          <w:rFonts w:ascii="Arial" w:hAnsi="Arial" w:cs="Arial"/>
          <w:sz w:val="18"/>
          <w:szCs w:val="18"/>
        </w:rPr>
        <w:t>’s</w:t>
      </w:r>
      <w:r w:rsidRPr="000B1BB2">
        <w:rPr>
          <w:rFonts w:ascii="Arial" w:hAnsi="Arial" w:cs="Arial"/>
          <w:sz w:val="18"/>
          <w:szCs w:val="18"/>
        </w:rPr>
        <w:t xml:space="preserve"> strict valuation criteria tends to produce a slight value and contrarian bias. At the core of the bottom-up, fundamental, research-driven approach is the team conducting several thousand company meetings each year.</w:t>
      </w:r>
    </w:p>
    <w:p w14:paraId="5B446510" w14:textId="1464B164" w:rsidR="003B07EE" w:rsidRPr="000B1BB2" w:rsidRDefault="003B07EE" w:rsidP="003B07EE">
      <w:pPr>
        <w:numPr>
          <w:ilvl w:val="0"/>
          <w:numId w:val="3"/>
        </w:numPr>
        <w:rPr>
          <w:rFonts w:ascii="Arial" w:hAnsi="Arial" w:cs="Arial"/>
          <w:sz w:val="18"/>
          <w:szCs w:val="18"/>
        </w:rPr>
      </w:pPr>
      <w:r w:rsidRPr="000B1BB2">
        <w:rPr>
          <w:rFonts w:ascii="Arial" w:hAnsi="Arial" w:cs="Arial"/>
          <w:b/>
          <w:bCs/>
          <w:sz w:val="18"/>
          <w:szCs w:val="18"/>
        </w:rPr>
        <w:t>Extensive network</w:t>
      </w:r>
      <w:r w:rsidR="000B1BB2">
        <w:rPr>
          <w:rFonts w:ascii="Arial" w:hAnsi="Arial" w:cs="Arial"/>
          <w:b/>
          <w:bCs/>
          <w:sz w:val="18"/>
          <w:szCs w:val="18"/>
        </w:rPr>
        <w:t xml:space="preserve"> </w:t>
      </w:r>
      <w:r w:rsidRPr="000B1BB2">
        <w:rPr>
          <w:rFonts w:ascii="Arial" w:hAnsi="Arial" w:cs="Arial"/>
          <w:sz w:val="18"/>
          <w:szCs w:val="18"/>
        </w:rPr>
        <w:t>of contacts throughout corporate Australia and overseas that provides a more complete and up-to-date perspective on industry trends, inflection points, risks, etc. Many fund managers purely meet with company management and sell-side analysts, which the Australian Equities team believe provides a biased and narrow perspective on a company/industry.</w:t>
      </w:r>
    </w:p>
    <w:p w14:paraId="69E60568" w14:textId="796EA517" w:rsidR="003B07EE" w:rsidRPr="000B1BB2" w:rsidRDefault="003B07EE" w:rsidP="003B07EE">
      <w:pPr>
        <w:numPr>
          <w:ilvl w:val="0"/>
          <w:numId w:val="3"/>
        </w:numPr>
        <w:rPr>
          <w:rFonts w:ascii="Arial" w:hAnsi="Arial" w:cs="Arial"/>
          <w:sz w:val="18"/>
          <w:szCs w:val="18"/>
        </w:rPr>
      </w:pPr>
      <w:r w:rsidRPr="000B1BB2">
        <w:rPr>
          <w:rFonts w:ascii="Arial" w:hAnsi="Arial" w:cs="Arial"/>
          <w:b/>
          <w:bCs/>
          <w:sz w:val="18"/>
          <w:szCs w:val="18"/>
        </w:rPr>
        <w:t>Contrarian approach</w:t>
      </w:r>
      <w:r w:rsidRPr="000B1BB2">
        <w:rPr>
          <w:rFonts w:ascii="Arial" w:hAnsi="Arial" w:cs="Arial" w:hint="eastAsia"/>
          <w:sz w:val="18"/>
          <w:szCs w:val="18"/>
        </w:rPr>
        <w:t> </w:t>
      </w:r>
      <w:r w:rsidRPr="000B1BB2">
        <w:rPr>
          <w:rFonts w:ascii="Arial" w:hAnsi="Arial" w:cs="Arial"/>
          <w:sz w:val="18"/>
          <w:szCs w:val="18"/>
        </w:rPr>
        <w:t xml:space="preserve">which has generated </w:t>
      </w:r>
      <w:r w:rsidR="00EB612D" w:rsidRPr="000B1BB2">
        <w:rPr>
          <w:rFonts w:ascii="Arial" w:hAnsi="Arial" w:cs="Arial"/>
          <w:sz w:val="18"/>
          <w:szCs w:val="18"/>
        </w:rPr>
        <w:t xml:space="preserve">excess returns </w:t>
      </w:r>
      <w:r w:rsidRPr="000B1BB2">
        <w:rPr>
          <w:rFonts w:ascii="Arial" w:hAnsi="Arial" w:cs="Arial"/>
          <w:sz w:val="18"/>
          <w:szCs w:val="18"/>
        </w:rPr>
        <w:t>from buying cyclical stocks at a low point in their cycle (and shorting at a high point) and overcoming behavioural biases that tend to promote momentum investing.</w:t>
      </w:r>
    </w:p>
    <w:p w14:paraId="7BBA4FBE" w14:textId="77777777" w:rsidR="00A333E9" w:rsidRDefault="00A333E9">
      <w:pPr>
        <w:spacing w:after="0" w:line="240" w:lineRule="auto"/>
        <w:rPr>
          <w:rFonts w:ascii="Helvetica Nueu" w:hAnsi="Helvetica Nueu"/>
          <w:b/>
          <w:bCs/>
          <w:color w:val="auto"/>
          <w:sz w:val="18"/>
          <w:szCs w:val="18"/>
        </w:rPr>
      </w:pPr>
      <w:r>
        <w:rPr>
          <w:rFonts w:ascii="Helvetica Nueu" w:hAnsi="Helvetica Nueu"/>
          <w:b/>
          <w:bCs/>
          <w:color w:val="auto"/>
          <w:sz w:val="18"/>
          <w:szCs w:val="18"/>
        </w:rPr>
        <w:br w:type="page"/>
      </w:r>
    </w:p>
    <w:p w14:paraId="4254D77D" w14:textId="21C41DDC" w:rsidR="00E27E5D" w:rsidRPr="000B1BB2" w:rsidRDefault="00E27E5D" w:rsidP="00E27E5D">
      <w:pPr>
        <w:ind w:right="-75"/>
        <w:rPr>
          <w:rFonts w:ascii="Arial" w:hAnsi="Arial" w:cs="Arial"/>
          <w:b/>
          <w:bCs/>
          <w:color w:val="auto"/>
          <w:sz w:val="18"/>
          <w:szCs w:val="18"/>
        </w:rPr>
      </w:pPr>
      <w:r w:rsidRPr="008D492D">
        <w:rPr>
          <w:rFonts w:ascii="Helvetica Nueu" w:hAnsi="Helvetica Nueu"/>
          <w:b/>
          <w:bCs/>
          <w:color w:val="auto"/>
          <w:sz w:val="18"/>
          <w:szCs w:val="18"/>
        </w:rPr>
        <w:lastRenderedPageBreak/>
        <w:t xml:space="preserve">Who is it suitable </w:t>
      </w:r>
      <w:r w:rsidRPr="000B1BB2">
        <w:rPr>
          <w:rFonts w:ascii="Arial" w:hAnsi="Arial" w:cs="Arial"/>
          <w:b/>
          <w:bCs/>
          <w:color w:val="auto"/>
          <w:sz w:val="18"/>
          <w:szCs w:val="18"/>
        </w:rPr>
        <w:t>for?</w:t>
      </w:r>
    </w:p>
    <w:p w14:paraId="404D7B9A" w14:textId="7C88131F" w:rsidR="00EB612D" w:rsidRPr="000B1BB2" w:rsidRDefault="003B07EE" w:rsidP="00093B13">
      <w:pPr>
        <w:rPr>
          <w:rFonts w:ascii="Arial" w:hAnsi="Arial" w:cs="Arial"/>
          <w:sz w:val="18"/>
          <w:szCs w:val="18"/>
        </w:rPr>
      </w:pPr>
      <w:r w:rsidRPr="000B1BB2">
        <w:rPr>
          <w:rFonts w:ascii="Arial" w:hAnsi="Arial" w:cs="Arial"/>
          <w:sz w:val="18"/>
          <w:szCs w:val="18"/>
        </w:rPr>
        <w:t>The Fund typically invests in securities listed on a global stock exchange and derivatives. The Fund may hold long or short stock positions. The Fund is likely to be suitable for investors seeking capital growth over the longer term. The Fund</w:t>
      </w:r>
      <w:r w:rsidR="000B1BB2">
        <w:rPr>
          <w:rFonts w:ascii="Arial" w:hAnsi="Arial" w:cs="Arial"/>
          <w:sz w:val="18"/>
          <w:szCs w:val="18"/>
        </w:rPr>
        <w:t>’s</w:t>
      </w:r>
      <w:r w:rsidRPr="000B1BB2">
        <w:rPr>
          <w:rFonts w:ascii="Arial" w:hAnsi="Arial" w:cs="Arial"/>
          <w:sz w:val="18"/>
          <w:szCs w:val="18"/>
        </w:rPr>
        <w:t xml:space="preserve"> investment objective is to achieve 10% return net of fees and expenses p.a. over the long term.</w:t>
      </w:r>
    </w:p>
    <w:p w14:paraId="455600D0" w14:textId="77777777" w:rsidR="00E27E5D" w:rsidRPr="000B1BB2" w:rsidRDefault="00E27E5D" w:rsidP="00E27E5D">
      <w:pPr>
        <w:ind w:right="-75"/>
        <w:rPr>
          <w:rFonts w:ascii="Arial" w:hAnsi="Arial" w:cs="Arial"/>
          <w:b/>
          <w:bCs/>
          <w:color w:val="auto"/>
          <w:sz w:val="18"/>
          <w:szCs w:val="18"/>
        </w:rPr>
      </w:pPr>
      <w:r w:rsidRPr="000B1BB2">
        <w:rPr>
          <w:rFonts w:ascii="Arial" w:hAnsi="Arial" w:cs="Arial"/>
          <w:b/>
          <w:bCs/>
          <w:color w:val="auto"/>
          <w:sz w:val="18"/>
          <w:szCs w:val="18"/>
        </w:rPr>
        <w:t>About the manager</w:t>
      </w:r>
    </w:p>
    <w:p w14:paraId="32C1999A" w14:textId="78F5FA59" w:rsidR="00EB612D" w:rsidRPr="000B1BB2" w:rsidRDefault="003B07EE" w:rsidP="00456623">
      <w:pPr>
        <w:pStyle w:val="DVComment"/>
        <w:rPr>
          <w:rFonts w:ascii="Arial" w:hAnsi="Arial" w:cs="Arial"/>
          <w:noProof w:val="0"/>
          <w:color w:val="252729"/>
          <w:sz w:val="18"/>
          <w:szCs w:val="18"/>
          <w:lang w:val="en-AU"/>
        </w:rPr>
      </w:pPr>
      <w:r w:rsidRPr="000B1BB2">
        <w:rPr>
          <w:rFonts w:ascii="Arial" w:hAnsi="Arial" w:cs="Arial"/>
          <w:sz w:val="18"/>
          <w:szCs w:val="18"/>
        </w:rPr>
        <w:t xml:space="preserve">L1 Capital is a global investment manager with offices in Melbourne, Sydney, Miami and London. The firm was established in 2007 and is owned by its senior staff, led by founders Raphael Lamm and Mark Landau. The L1 Capital team is committed to offering investor best of breed investment products that deliver exceptional long-term returns. </w:t>
      </w:r>
    </w:p>
    <w:p w14:paraId="6EBA907B" w14:textId="77777777" w:rsidR="00E27E5D" w:rsidRPr="000B1BB2" w:rsidRDefault="00E27E5D" w:rsidP="00E27E5D">
      <w:pPr>
        <w:ind w:right="-75"/>
        <w:rPr>
          <w:rFonts w:ascii="Arial" w:hAnsi="Arial" w:cs="Arial"/>
          <w:b/>
          <w:bCs/>
          <w:color w:val="2B41B1"/>
          <w:sz w:val="18"/>
          <w:szCs w:val="18"/>
        </w:rPr>
      </w:pPr>
      <w:r w:rsidRPr="000B1BB2">
        <w:rPr>
          <w:rFonts w:ascii="Arial" w:hAnsi="Arial" w:cs="Arial"/>
          <w:b/>
          <w:bCs/>
          <w:color w:val="2B41B1"/>
          <w:sz w:val="18"/>
          <w:szCs w:val="18"/>
        </w:rPr>
        <w:t>RECOMMENDATION</w:t>
      </w:r>
    </w:p>
    <w:p w14:paraId="0645A171" w14:textId="0B527DC8" w:rsidR="00BE6FA9" w:rsidRPr="000B1BB2" w:rsidRDefault="00E27E5D" w:rsidP="00272737">
      <w:pPr>
        <w:pStyle w:val="DVComment"/>
        <w:rPr>
          <w:rFonts w:ascii="Arial" w:hAnsi="Arial" w:cs="Arial"/>
          <w:noProof w:val="0"/>
          <w:color w:val="252729"/>
          <w:sz w:val="18"/>
          <w:szCs w:val="18"/>
          <w:lang w:val="en-AU"/>
        </w:rPr>
      </w:pPr>
      <w:r w:rsidRPr="000B1BB2">
        <w:rPr>
          <w:rFonts w:ascii="Arial" w:hAnsi="Arial" w:cs="Arial"/>
          <w:noProof w:val="0"/>
          <w:color w:val="252729"/>
          <w:sz w:val="18"/>
          <w:szCs w:val="18"/>
          <w:lang w:val="en-AU"/>
        </w:rPr>
        <w:t xml:space="preserve">I have recommended including the </w:t>
      </w:r>
      <w:r w:rsidR="00F307C1" w:rsidRPr="000B1BB2">
        <w:rPr>
          <w:rFonts w:ascii="Arial" w:hAnsi="Arial" w:cs="Arial"/>
          <w:noProof w:val="0"/>
          <w:color w:val="252729"/>
          <w:sz w:val="18"/>
          <w:szCs w:val="18"/>
          <w:lang w:val="en-AU"/>
        </w:rPr>
        <w:t xml:space="preserve">L1 Capital Long Short Fund </w:t>
      </w:r>
      <w:r w:rsidRPr="000B1BB2">
        <w:rPr>
          <w:rFonts w:ascii="Arial" w:hAnsi="Arial" w:cs="Arial"/>
          <w:noProof w:val="0"/>
          <w:color w:val="252729"/>
          <w:sz w:val="18"/>
          <w:szCs w:val="18"/>
          <w:lang w:val="en-AU"/>
        </w:rPr>
        <w:t>in</w:t>
      </w:r>
      <w:r w:rsidR="00104078">
        <w:rPr>
          <w:rFonts w:ascii="Arial" w:hAnsi="Arial" w:cs="Arial"/>
          <w:noProof w:val="0"/>
          <w:color w:val="252729"/>
          <w:sz w:val="18"/>
          <w:szCs w:val="18"/>
          <w:lang w:val="en-AU"/>
        </w:rPr>
        <w:t xml:space="preserve"> </w:t>
      </w:r>
      <w:r w:rsidRPr="00104078">
        <w:rPr>
          <w:rFonts w:ascii="Helvetica Nueu" w:hAnsi="Helvetica Nueu"/>
          <w:noProof w:val="0"/>
          <w:color w:val="252729"/>
          <w:sz w:val="18"/>
          <w:szCs w:val="18"/>
          <w:lang w:val="en-AU"/>
        </w:rPr>
        <w:t xml:space="preserve">your </w:t>
      </w:r>
      <w:r w:rsidRPr="000B1BB2">
        <w:rPr>
          <w:rFonts w:ascii="Arial" w:hAnsi="Arial" w:cs="Arial"/>
          <w:noProof w:val="0"/>
          <w:color w:val="252729"/>
          <w:sz w:val="18"/>
          <w:szCs w:val="18"/>
          <w:lang w:val="en-AU"/>
        </w:rPr>
        <w:t xml:space="preserve">investment bond portfolio which Generation Life will be using as a replacement for the </w:t>
      </w:r>
      <w:r w:rsidR="00F307C1" w:rsidRPr="000B1BB2">
        <w:rPr>
          <w:rFonts w:ascii="Arial" w:hAnsi="Arial" w:cs="Arial"/>
          <w:noProof w:val="0"/>
          <w:color w:val="252729"/>
          <w:sz w:val="18"/>
          <w:szCs w:val="18"/>
          <w:lang w:val="en-AU"/>
        </w:rPr>
        <w:t>Firetrail Absolute Return Fund</w:t>
      </w:r>
      <w:r w:rsidR="00FE0DF1" w:rsidRPr="000B1BB2">
        <w:rPr>
          <w:rFonts w:ascii="Arial" w:hAnsi="Arial" w:cs="Arial"/>
          <w:noProof w:val="0"/>
          <w:color w:val="252729"/>
          <w:sz w:val="18"/>
          <w:szCs w:val="18"/>
          <w:lang w:val="en-AU"/>
        </w:rPr>
        <w:t xml:space="preserve"> strategy</w:t>
      </w:r>
      <w:r w:rsidRPr="000B1BB2">
        <w:rPr>
          <w:rFonts w:ascii="Arial" w:hAnsi="Arial" w:cs="Arial"/>
          <w:noProof w:val="0"/>
          <w:color w:val="252729"/>
          <w:sz w:val="18"/>
          <w:szCs w:val="18"/>
          <w:lang w:val="en-AU"/>
        </w:rPr>
        <w:t>.</w:t>
      </w:r>
      <w:bookmarkEnd w:id="0"/>
      <w:r w:rsidRPr="000B1BB2">
        <w:rPr>
          <w:rFonts w:ascii="Arial" w:hAnsi="Arial" w:cs="Arial"/>
          <w:noProof w:val="0"/>
          <w:color w:val="252729"/>
          <w:sz w:val="18"/>
          <w:szCs w:val="18"/>
          <w:lang w:val="en-AU"/>
        </w:rPr>
        <w:t> </w:t>
      </w:r>
    </w:p>
    <w:bookmarkEnd w:id="1"/>
    <w:p w14:paraId="298766B8" w14:textId="77777777" w:rsidR="00EB612D" w:rsidRPr="000B1BB2" w:rsidRDefault="00EB612D" w:rsidP="0058524C">
      <w:pPr>
        <w:spacing w:after="0" w:line="240" w:lineRule="auto"/>
        <w:rPr>
          <w:rFonts w:ascii="Arial" w:hAnsi="Arial" w:cs="Arial"/>
          <w:b/>
          <w:bCs/>
          <w:color w:val="auto"/>
          <w:sz w:val="28"/>
          <w:szCs w:val="28"/>
        </w:rPr>
      </w:pPr>
    </w:p>
    <w:p w14:paraId="2CEC0D30" w14:textId="77777777" w:rsidR="00EB612D" w:rsidRPr="000B1BB2" w:rsidRDefault="00EB612D" w:rsidP="0058524C">
      <w:pPr>
        <w:spacing w:after="0" w:line="240" w:lineRule="auto"/>
        <w:rPr>
          <w:rFonts w:ascii="Arial" w:hAnsi="Arial" w:cs="Arial"/>
          <w:b/>
          <w:bCs/>
          <w:color w:val="auto"/>
          <w:sz w:val="28"/>
          <w:szCs w:val="28"/>
        </w:rPr>
      </w:pPr>
    </w:p>
    <w:p w14:paraId="7B40E07C" w14:textId="77777777" w:rsidR="00EB612D" w:rsidRPr="000B1BB2" w:rsidRDefault="00EB612D" w:rsidP="0058524C">
      <w:pPr>
        <w:spacing w:after="0" w:line="240" w:lineRule="auto"/>
        <w:rPr>
          <w:rFonts w:ascii="Arial" w:hAnsi="Arial" w:cs="Arial"/>
          <w:b/>
          <w:bCs/>
          <w:color w:val="auto"/>
          <w:sz w:val="28"/>
          <w:szCs w:val="28"/>
        </w:rPr>
      </w:pPr>
    </w:p>
    <w:p w14:paraId="2FC5E117" w14:textId="77777777" w:rsidR="00EB612D" w:rsidRPr="000B1BB2" w:rsidRDefault="00EB612D" w:rsidP="0058524C">
      <w:pPr>
        <w:spacing w:after="0" w:line="240" w:lineRule="auto"/>
        <w:rPr>
          <w:rFonts w:ascii="Arial" w:hAnsi="Arial" w:cs="Arial"/>
          <w:b/>
          <w:bCs/>
          <w:color w:val="auto"/>
          <w:sz w:val="28"/>
          <w:szCs w:val="28"/>
        </w:rPr>
      </w:pPr>
    </w:p>
    <w:p w14:paraId="0377689F" w14:textId="77777777" w:rsidR="00EB612D" w:rsidRDefault="00EB612D" w:rsidP="0058524C">
      <w:pPr>
        <w:spacing w:after="0" w:line="240" w:lineRule="auto"/>
        <w:rPr>
          <w:rFonts w:ascii="Arial" w:hAnsi="Arial" w:cs="Arial"/>
          <w:b/>
          <w:bCs/>
          <w:color w:val="auto"/>
          <w:sz w:val="28"/>
          <w:szCs w:val="28"/>
        </w:rPr>
      </w:pPr>
    </w:p>
    <w:p w14:paraId="6DBC38B2" w14:textId="77777777" w:rsidR="00A333E9" w:rsidRDefault="00A333E9" w:rsidP="0058524C">
      <w:pPr>
        <w:spacing w:after="0" w:line="240" w:lineRule="auto"/>
        <w:rPr>
          <w:rFonts w:ascii="Arial" w:hAnsi="Arial" w:cs="Arial"/>
          <w:b/>
          <w:bCs/>
          <w:color w:val="auto"/>
          <w:sz w:val="28"/>
          <w:szCs w:val="28"/>
        </w:rPr>
      </w:pPr>
    </w:p>
    <w:p w14:paraId="4292E692" w14:textId="77777777" w:rsidR="00A333E9" w:rsidRDefault="00A333E9" w:rsidP="0058524C">
      <w:pPr>
        <w:spacing w:after="0" w:line="240" w:lineRule="auto"/>
        <w:rPr>
          <w:rFonts w:ascii="Arial" w:hAnsi="Arial" w:cs="Arial"/>
          <w:b/>
          <w:bCs/>
          <w:color w:val="auto"/>
          <w:sz w:val="28"/>
          <w:szCs w:val="28"/>
        </w:rPr>
      </w:pPr>
    </w:p>
    <w:p w14:paraId="70D1D9D0" w14:textId="77777777" w:rsidR="00A333E9" w:rsidRDefault="00A333E9" w:rsidP="0058524C">
      <w:pPr>
        <w:spacing w:after="0" w:line="240" w:lineRule="auto"/>
        <w:rPr>
          <w:rFonts w:ascii="Arial" w:hAnsi="Arial" w:cs="Arial"/>
          <w:b/>
          <w:bCs/>
          <w:color w:val="auto"/>
          <w:sz w:val="28"/>
          <w:szCs w:val="28"/>
        </w:rPr>
      </w:pPr>
    </w:p>
    <w:p w14:paraId="716512D0" w14:textId="77777777" w:rsidR="00A333E9" w:rsidRPr="000B1BB2" w:rsidRDefault="00A333E9" w:rsidP="0058524C">
      <w:pPr>
        <w:spacing w:after="0" w:line="240" w:lineRule="auto"/>
        <w:rPr>
          <w:rFonts w:ascii="Arial" w:hAnsi="Arial" w:cs="Arial"/>
          <w:b/>
          <w:bCs/>
          <w:color w:val="auto"/>
          <w:sz w:val="28"/>
          <w:szCs w:val="28"/>
        </w:rPr>
      </w:pPr>
    </w:p>
    <w:p w14:paraId="1A957E59" w14:textId="2401B639" w:rsidR="00BA1D9F" w:rsidRPr="000B1BB2" w:rsidRDefault="00BA1D9F" w:rsidP="0058524C">
      <w:pPr>
        <w:spacing w:after="0" w:line="240" w:lineRule="auto"/>
        <w:rPr>
          <w:rFonts w:ascii="Arial" w:hAnsi="Arial" w:cs="Arial"/>
          <w:b/>
          <w:bCs/>
          <w:color w:val="auto"/>
          <w:sz w:val="28"/>
          <w:szCs w:val="28"/>
        </w:rPr>
      </w:pPr>
      <w:r w:rsidRPr="000B1BB2">
        <w:rPr>
          <w:rFonts w:ascii="Arial" w:hAnsi="Arial" w:cs="Arial"/>
          <w:b/>
          <w:bCs/>
          <w:color w:val="auto"/>
          <w:sz w:val="28"/>
          <w:szCs w:val="28"/>
        </w:rPr>
        <w:t>Important information</w:t>
      </w:r>
    </w:p>
    <w:p w14:paraId="0F2E1B80" w14:textId="39F234FB" w:rsidR="003D61F5" w:rsidRPr="00A333E9" w:rsidRDefault="003D61F5" w:rsidP="00734192">
      <w:pPr>
        <w:rPr>
          <w:rFonts w:ascii="Arial" w:hAnsi="Arial" w:cs="Arial"/>
          <w:szCs w:val="16"/>
        </w:rPr>
      </w:pPr>
      <w:r w:rsidRPr="00A333E9">
        <w:rPr>
          <w:rFonts w:ascii="Arial" w:hAnsi="Arial" w:cs="Arial"/>
          <w:szCs w:val="16"/>
        </w:rPr>
        <w:t>The product description and sample wording above have been prepared by Generation Life Limited (</w:t>
      </w:r>
      <w:r w:rsidR="00922B44" w:rsidRPr="00A333E9">
        <w:rPr>
          <w:rFonts w:ascii="Arial" w:hAnsi="Arial" w:cs="Arial"/>
          <w:szCs w:val="16"/>
        </w:rPr>
        <w:t>’</w:t>
      </w:r>
      <w:r w:rsidRPr="00A333E9">
        <w:rPr>
          <w:rFonts w:ascii="Arial" w:hAnsi="Arial" w:cs="Arial"/>
          <w:szCs w:val="16"/>
        </w:rPr>
        <w:t xml:space="preserve">Generation Life) ABN 68 092 843 902 AFSL 225408 as a guide only to assist you in developing your own Statement of Advice (SoA) or Record of Advice (RoA) when providing advice about Generation Life investment bond products to your clients. </w:t>
      </w:r>
    </w:p>
    <w:p w14:paraId="76E1BBB0" w14:textId="14DB2F85" w:rsidR="003D61F5" w:rsidRPr="00A333E9" w:rsidRDefault="003D61F5" w:rsidP="00734192">
      <w:pPr>
        <w:rPr>
          <w:rFonts w:ascii="Arial" w:hAnsi="Arial" w:cs="Arial"/>
          <w:szCs w:val="16"/>
        </w:rPr>
      </w:pPr>
      <w:r w:rsidRPr="00A333E9">
        <w:rPr>
          <w:rFonts w:ascii="Arial" w:hAnsi="Arial" w:cs="Arial"/>
          <w:szCs w:val="16"/>
        </w:rPr>
        <w:t>This information may not be considered complete as it does not consider your clients</w:t>
      </w:r>
      <w:r w:rsidR="000B1BB2" w:rsidRPr="00A333E9">
        <w:rPr>
          <w:rFonts w:ascii="Arial" w:hAnsi="Arial" w:cs="Arial"/>
          <w:szCs w:val="16"/>
        </w:rPr>
        <w:t xml:space="preserve">’ </w:t>
      </w:r>
      <w:r w:rsidRPr="00A333E9">
        <w:rPr>
          <w:rFonts w:ascii="Arial" w:hAnsi="Arial" w:cs="Arial"/>
          <w:szCs w:val="16"/>
        </w:rPr>
        <w:t xml:space="preserve">personal situation, needs or objectives </w:t>
      </w:r>
      <w:r w:rsidRPr="00A333E9">
        <w:rPr>
          <w:rFonts w:ascii="Arial" w:hAnsi="Arial" w:cs="Arial" w:hint="eastAsia"/>
          <w:szCs w:val="16"/>
        </w:rPr>
        <w:t>–</w:t>
      </w:r>
      <w:r w:rsidRPr="00A333E9">
        <w:rPr>
          <w:rFonts w:ascii="Arial" w:hAnsi="Arial" w:cs="Arial"/>
          <w:szCs w:val="16"/>
        </w:rPr>
        <w:t xml:space="preserve"> it is your responsibility to consider these aspects when formulating the SoA or RoA for your clients. Before making an </w:t>
      </w:r>
      <w:proofErr w:type="gramStart"/>
      <w:r w:rsidRPr="00A333E9">
        <w:rPr>
          <w:rFonts w:ascii="Arial" w:hAnsi="Arial" w:cs="Arial"/>
          <w:szCs w:val="16"/>
        </w:rPr>
        <w:t>investment</w:t>
      </w:r>
      <w:proofErr w:type="gramEnd"/>
      <w:r w:rsidRPr="00A333E9">
        <w:rPr>
          <w:rFonts w:ascii="Arial" w:hAnsi="Arial" w:cs="Arial"/>
          <w:szCs w:val="16"/>
        </w:rPr>
        <w:t xml:space="preserve"> decision or tendering of advice based on anything in this document, you need to consider whether any general advice in this document is appropriate to the particular investment needs, objectives and financial situation of the person(s) making the investment </w:t>
      </w:r>
      <w:r w:rsidR="008D492D" w:rsidRPr="00A333E9">
        <w:rPr>
          <w:rFonts w:ascii="Arial" w:hAnsi="Arial" w:cs="Arial"/>
          <w:szCs w:val="16"/>
        </w:rPr>
        <w:t xml:space="preserve">decision </w:t>
      </w:r>
      <w:r w:rsidRPr="00A333E9">
        <w:rPr>
          <w:rFonts w:ascii="Arial" w:hAnsi="Arial" w:cs="Arial"/>
          <w:szCs w:val="16"/>
        </w:rPr>
        <w:t xml:space="preserve">and/or receiving the advice. </w:t>
      </w:r>
    </w:p>
    <w:p w14:paraId="4CEA4600" w14:textId="11C7B523" w:rsidR="003D61F5" w:rsidRPr="00A333E9" w:rsidRDefault="003D61F5" w:rsidP="00734192">
      <w:pPr>
        <w:rPr>
          <w:rFonts w:ascii="Arial" w:hAnsi="Arial" w:cs="Arial"/>
          <w:szCs w:val="16"/>
        </w:rPr>
      </w:pPr>
      <w:r w:rsidRPr="00A333E9">
        <w:rPr>
          <w:rFonts w:ascii="Arial" w:hAnsi="Arial" w:cs="Arial"/>
          <w:szCs w:val="16"/>
        </w:rPr>
        <w:t>This document may contain general advice in relation to financial products. Generation Life is not authorised to provide personal advice and accordingly has not considered any individual person</w:t>
      </w:r>
      <w:r w:rsidR="000B1BB2" w:rsidRPr="00A333E9">
        <w:rPr>
          <w:rFonts w:ascii="Arial" w:hAnsi="Arial" w:cs="Arial"/>
          <w:szCs w:val="16"/>
        </w:rPr>
        <w:t>’s</w:t>
      </w:r>
      <w:r w:rsidRPr="00A333E9">
        <w:rPr>
          <w:rFonts w:ascii="Arial" w:hAnsi="Arial" w:cs="Arial"/>
          <w:szCs w:val="16"/>
        </w:rPr>
        <w:t xml:space="preserve"> financial situation, needs or objectives. Generation Life is not responsible for any personal advice you provide, even if it is based on this document. </w:t>
      </w:r>
    </w:p>
    <w:p w14:paraId="528C399A" w14:textId="15299C8F" w:rsidR="003D61F5" w:rsidRPr="00A333E9" w:rsidRDefault="003D61F5" w:rsidP="00734192">
      <w:pPr>
        <w:rPr>
          <w:rFonts w:ascii="Arial" w:hAnsi="Arial" w:cs="Arial"/>
          <w:szCs w:val="16"/>
        </w:rPr>
      </w:pPr>
      <w:r w:rsidRPr="00A333E9">
        <w:rPr>
          <w:rFonts w:ascii="Arial" w:hAnsi="Arial" w:cs="Arial"/>
          <w:szCs w:val="16"/>
        </w:rPr>
        <w:t>It is important to note that some product features may not be fully explained, some words or phrases have a specific meaning</w:t>
      </w:r>
      <w:r w:rsidR="005A784D" w:rsidRPr="00A333E9">
        <w:rPr>
          <w:rFonts w:ascii="Arial" w:hAnsi="Arial" w:cs="Arial"/>
          <w:szCs w:val="16"/>
        </w:rPr>
        <w:t>,</w:t>
      </w:r>
      <w:r w:rsidRPr="00A333E9">
        <w:rPr>
          <w:rFonts w:ascii="Arial" w:hAnsi="Arial" w:cs="Arial"/>
          <w:szCs w:val="16"/>
        </w:rPr>
        <w:t xml:space="preserve"> and rules may apply to the availability of certain features and options. For these reasons, this SoA or RoA should be used in conjunction with the terms and conditions set out in the Generation Life Investment Bonds Product Disclosure Statement (PDS). </w:t>
      </w:r>
    </w:p>
    <w:p w14:paraId="688AAD59" w14:textId="6858322C" w:rsidR="003D61F5" w:rsidRPr="00A333E9" w:rsidRDefault="003D61F5" w:rsidP="00734192">
      <w:pPr>
        <w:rPr>
          <w:rFonts w:ascii="Arial" w:hAnsi="Arial" w:cs="Arial"/>
          <w:szCs w:val="16"/>
        </w:rPr>
      </w:pPr>
      <w:r w:rsidRPr="00A333E9">
        <w:rPr>
          <w:rFonts w:ascii="Arial" w:hAnsi="Arial" w:cs="Arial"/>
          <w:szCs w:val="16"/>
        </w:rPr>
        <w:t>Should you choose to use all or part of this template to fit with your SoA or RoA, this is at your discretion. The law applying to SOAs and RoAs is subject to amendment and reinterpretation at any time. This document is based on information from the PDS.</w:t>
      </w:r>
    </w:p>
    <w:p w14:paraId="2B291875" w14:textId="357CAAE0" w:rsidR="003D61F5" w:rsidRPr="00A333E9" w:rsidRDefault="003D61F5" w:rsidP="00734192">
      <w:pPr>
        <w:rPr>
          <w:rFonts w:ascii="Arial" w:hAnsi="Arial" w:cs="Arial"/>
          <w:szCs w:val="16"/>
        </w:rPr>
      </w:pPr>
      <w:r w:rsidRPr="00A333E9">
        <w:rPr>
          <w:rFonts w:ascii="Arial" w:hAnsi="Arial" w:cs="Arial"/>
          <w:szCs w:val="16"/>
        </w:rPr>
        <w:t>The document contains references to financial products issued by Generation Life in its capacity as a life insurance company under the Life Insurance Act 1995 and as the issuer of the interests in Generation Life Investment Bonds. This document does not constitute an offer of interests in the Investment Bonds. Such offers will only be made in a copy of the PDS and anyone wishing to acquire interests in the Investment Bonds will need to complete the application form accompanying the PDS.</w:t>
      </w:r>
    </w:p>
    <w:p w14:paraId="49BBC01D" w14:textId="22FD52AC" w:rsidR="00327675" w:rsidRPr="00A333E9" w:rsidRDefault="003D61F5" w:rsidP="00BB1C74">
      <w:pPr>
        <w:rPr>
          <w:rFonts w:ascii="Arial" w:hAnsi="Arial" w:cs="Arial"/>
          <w:szCs w:val="16"/>
        </w:rPr>
      </w:pPr>
      <w:r w:rsidRPr="00A333E9">
        <w:rPr>
          <w:rFonts w:ascii="Arial" w:hAnsi="Arial" w:cs="Arial"/>
          <w:szCs w:val="16"/>
        </w:rPr>
        <w:t>Generation Life believes that any advice and information in this document is accurate and reliable, but no warranties of accuracy, reliability or completeness are given (except insofar as liability under any statute cannot be excluded). No responsibility for any errors or omissions or any negligence is accepted by Generation Life or any of its directors, employees</w:t>
      </w:r>
      <w:r w:rsidR="00591645" w:rsidRPr="00A333E9">
        <w:rPr>
          <w:rFonts w:ascii="Arial" w:hAnsi="Arial" w:cs="Arial"/>
          <w:szCs w:val="16"/>
        </w:rPr>
        <w:t>,</w:t>
      </w:r>
      <w:r w:rsidRPr="00A333E9">
        <w:rPr>
          <w:rFonts w:ascii="Arial" w:hAnsi="Arial" w:cs="Arial"/>
          <w:szCs w:val="16"/>
        </w:rPr>
        <w:t xml:space="preserve"> or agents.</w:t>
      </w:r>
    </w:p>
    <w:tbl>
      <w:tblPr>
        <w:tblStyle w:val="TableGrid"/>
        <w:tblpPr w:leftFromText="180" w:rightFromText="180" w:vertAnchor="text" w:horzAnchor="margin" w:tblpY="195"/>
        <w:tblW w:w="102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3" w:type="dxa"/>
          <w:bottom w:w="57" w:type="dxa"/>
        </w:tblCellMar>
        <w:tblLook w:val="04A0" w:firstRow="1" w:lastRow="0" w:firstColumn="1" w:lastColumn="0" w:noHBand="0" w:noVBand="1"/>
      </w:tblPr>
      <w:tblGrid>
        <w:gridCol w:w="1696"/>
        <w:gridCol w:w="3261"/>
        <w:gridCol w:w="1701"/>
        <w:gridCol w:w="3543"/>
      </w:tblGrid>
      <w:tr w:rsidR="00E96EC1" w:rsidRPr="008D492D" w14:paraId="486C2B0A" w14:textId="77777777" w:rsidTr="00E96EC1">
        <w:tc>
          <w:tcPr>
            <w:tcW w:w="1696" w:type="dxa"/>
            <w:tcBorders>
              <w:top w:val="single" w:sz="2" w:space="0" w:color="A3A3A3"/>
            </w:tcBorders>
          </w:tcPr>
          <w:p w14:paraId="4EBE72CA" w14:textId="0E69F76C" w:rsidR="00E96EC1" w:rsidRPr="000B1BB2" w:rsidRDefault="00BB4208" w:rsidP="00E96EC1">
            <w:pPr>
              <w:pStyle w:val="TableHeading"/>
              <w:rPr>
                <w:rFonts w:ascii="Arial" w:hAnsi="Arial" w:cs="Arial"/>
                <w:sz w:val="18"/>
                <w:szCs w:val="18"/>
              </w:rPr>
            </w:pPr>
            <w:r w:rsidRPr="000B1BB2">
              <w:rPr>
                <w:rFonts w:ascii="Arial" w:hAnsi="Arial" w:cs="Arial"/>
                <w:sz w:val="18"/>
                <w:szCs w:val="18"/>
              </w:rPr>
              <w:t>Contact us</w:t>
            </w:r>
          </w:p>
        </w:tc>
        <w:tc>
          <w:tcPr>
            <w:tcW w:w="3261" w:type="dxa"/>
            <w:tcBorders>
              <w:top w:val="single" w:sz="2" w:space="0" w:color="A3A3A3"/>
            </w:tcBorders>
          </w:tcPr>
          <w:p w14:paraId="7B469E80" w14:textId="77777777" w:rsidR="00E96EC1" w:rsidRPr="000B1BB2" w:rsidRDefault="00E96EC1" w:rsidP="00E96EC1">
            <w:pPr>
              <w:pStyle w:val="TableHeading"/>
              <w:rPr>
                <w:rFonts w:ascii="Arial" w:hAnsi="Arial" w:cs="Arial"/>
                <w:sz w:val="18"/>
                <w:szCs w:val="18"/>
              </w:rPr>
            </w:pPr>
          </w:p>
        </w:tc>
        <w:tc>
          <w:tcPr>
            <w:tcW w:w="1701" w:type="dxa"/>
            <w:tcBorders>
              <w:top w:val="single" w:sz="2" w:space="0" w:color="A3A3A3"/>
            </w:tcBorders>
          </w:tcPr>
          <w:p w14:paraId="5F3B7CA6" w14:textId="52815400" w:rsidR="00E96EC1" w:rsidRPr="000B1BB2" w:rsidRDefault="00E96EC1" w:rsidP="00E96EC1">
            <w:pPr>
              <w:pStyle w:val="TableHeading"/>
              <w:rPr>
                <w:rFonts w:ascii="Arial" w:hAnsi="Arial" w:cs="Arial"/>
                <w:sz w:val="18"/>
                <w:szCs w:val="18"/>
              </w:rPr>
            </w:pPr>
          </w:p>
        </w:tc>
        <w:tc>
          <w:tcPr>
            <w:tcW w:w="3543" w:type="dxa"/>
            <w:tcBorders>
              <w:top w:val="single" w:sz="2" w:space="0" w:color="A3A3A3"/>
            </w:tcBorders>
          </w:tcPr>
          <w:p w14:paraId="0829D8BB" w14:textId="77777777" w:rsidR="00E96EC1" w:rsidRPr="000B1BB2" w:rsidRDefault="00E96EC1" w:rsidP="00E96EC1">
            <w:pPr>
              <w:pStyle w:val="TableHeading"/>
              <w:rPr>
                <w:rFonts w:ascii="Arial" w:hAnsi="Arial" w:cs="Arial"/>
                <w:sz w:val="18"/>
                <w:szCs w:val="18"/>
              </w:rPr>
            </w:pPr>
          </w:p>
        </w:tc>
      </w:tr>
      <w:tr w:rsidR="00E96EC1" w:rsidRPr="008D492D" w14:paraId="1238982B" w14:textId="77777777" w:rsidTr="00E96EC1">
        <w:tc>
          <w:tcPr>
            <w:tcW w:w="1696" w:type="dxa"/>
          </w:tcPr>
          <w:p w14:paraId="3ED9411A" w14:textId="77777777" w:rsidR="00E96EC1" w:rsidRPr="000B1BB2" w:rsidRDefault="00E96EC1" w:rsidP="00E96EC1">
            <w:pPr>
              <w:pStyle w:val="TableHeading2"/>
              <w:rPr>
                <w:rFonts w:ascii="Arial" w:hAnsi="Arial" w:cs="Arial"/>
                <w:sz w:val="18"/>
                <w:szCs w:val="18"/>
              </w:rPr>
            </w:pPr>
            <w:r w:rsidRPr="000B1BB2">
              <w:rPr>
                <w:rFonts w:ascii="Arial" w:hAnsi="Arial" w:cs="Arial"/>
                <w:sz w:val="18"/>
                <w:szCs w:val="18"/>
              </w:rPr>
              <w:t xml:space="preserve">Phone </w:t>
            </w:r>
          </w:p>
          <w:p w14:paraId="78BC05CE" w14:textId="2FA354A5" w:rsidR="00BB4208" w:rsidRPr="000B1BB2" w:rsidRDefault="00BB4208" w:rsidP="00E96EC1">
            <w:pPr>
              <w:pStyle w:val="TableHeading2"/>
              <w:rPr>
                <w:rFonts w:ascii="Arial" w:hAnsi="Arial" w:cs="Arial"/>
                <w:sz w:val="18"/>
                <w:szCs w:val="18"/>
              </w:rPr>
            </w:pPr>
            <w:r w:rsidRPr="000B1BB2">
              <w:rPr>
                <w:rFonts w:ascii="Arial" w:hAnsi="Arial" w:cs="Arial"/>
                <w:sz w:val="18"/>
                <w:szCs w:val="18"/>
              </w:rPr>
              <w:t>Email</w:t>
            </w:r>
          </w:p>
        </w:tc>
        <w:tc>
          <w:tcPr>
            <w:tcW w:w="3261" w:type="dxa"/>
          </w:tcPr>
          <w:p w14:paraId="28CC40A8" w14:textId="1931D73F" w:rsidR="00E96EC1" w:rsidRPr="000B1BB2" w:rsidRDefault="00E96EC1" w:rsidP="00A7221D">
            <w:pPr>
              <w:pStyle w:val="TableHeading2"/>
              <w:rPr>
                <w:rFonts w:ascii="Arial" w:hAnsi="Arial" w:cs="Arial"/>
                <w:sz w:val="18"/>
                <w:szCs w:val="18"/>
              </w:rPr>
            </w:pPr>
            <w:r w:rsidRPr="000B1BB2">
              <w:rPr>
                <w:rFonts w:ascii="Arial" w:hAnsi="Arial" w:cs="Arial"/>
                <w:sz w:val="18"/>
                <w:szCs w:val="18"/>
              </w:rPr>
              <w:t xml:space="preserve">1800 </w:t>
            </w:r>
            <w:r w:rsidR="00591645" w:rsidRPr="000B1BB2">
              <w:rPr>
                <w:rFonts w:ascii="Arial" w:hAnsi="Arial" w:cs="Arial"/>
                <w:sz w:val="18"/>
                <w:szCs w:val="18"/>
              </w:rPr>
              <w:t>333 657</w:t>
            </w:r>
          </w:p>
          <w:p w14:paraId="6037B49B" w14:textId="5BEE7803" w:rsidR="00BB4208" w:rsidRPr="000B1BB2" w:rsidRDefault="00BB4208" w:rsidP="00A7221D">
            <w:pPr>
              <w:pStyle w:val="TableHeading2"/>
              <w:rPr>
                <w:rFonts w:ascii="Arial" w:hAnsi="Arial" w:cs="Arial"/>
                <w:sz w:val="18"/>
                <w:szCs w:val="18"/>
              </w:rPr>
            </w:pPr>
            <w:r w:rsidRPr="000B1BB2">
              <w:rPr>
                <w:rFonts w:ascii="Arial" w:hAnsi="Arial" w:cs="Arial"/>
                <w:sz w:val="18"/>
                <w:szCs w:val="18"/>
              </w:rPr>
              <w:t>enquiry@genlife.com.au</w:t>
            </w:r>
          </w:p>
        </w:tc>
        <w:tc>
          <w:tcPr>
            <w:tcW w:w="1701" w:type="dxa"/>
          </w:tcPr>
          <w:p w14:paraId="5418996A" w14:textId="2F369687" w:rsidR="00E96EC1" w:rsidRPr="000B1BB2" w:rsidRDefault="00BB4208" w:rsidP="00E96EC1">
            <w:pPr>
              <w:pStyle w:val="TableHeading2"/>
              <w:rPr>
                <w:rFonts w:ascii="Arial" w:hAnsi="Arial" w:cs="Arial"/>
                <w:sz w:val="18"/>
                <w:szCs w:val="18"/>
              </w:rPr>
            </w:pPr>
            <w:r w:rsidRPr="000B1BB2">
              <w:rPr>
                <w:rFonts w:ascii="Arial" w:hAnsi="Arial" w:cs="Arial"/>
                <w:sz w:val="18"/>
                <w:szCs w:val="18"/>
              </w:rPr>
              <w:t xml:space="preserve">Postal </w:t>
            </w:r>
            <w:r w:rsidR="00E96EC1" w:rsidRPr="000B1BB2">
              <w:rPr>
                <w:rFonts w:ascii="Arial" w:hAnsi="Arial" w:cs="Arial"/>
                <w:sz w:val="18"/>
                <w:szCs w:val="18"/>
              </w:rPr>
              <w:t xml:space="preserve">Address </w:t>
            </w:r>
          </w:p>
        </w:tc>
        <w:tc>
          <w:tcPr>
            <w:tcW w:w="3543" w:type="dxa"/>
          </w:tcPr>
          <w:p w14:paraId="667EE9CC" w14:textId="059597D4" w:rsidR="00BB4208" w:rsidRPr="000B1BB2" w:rsidRDefault="00BB4208" w:rsidP="00A7221D">
            <w:pPr>
              <w:pStyle w:val="TableHeading2"/>
              <w:rPr>
                <w:rFonts w:ascii="Arial" w:hAnsi="Arial" w:cs="Arial"/>
                <w:sz w:val="18"/>
                <w:szCs w:val="18"/>
              </w:rPr>
            </w:pPr>
            <w:r w:rsidRPr="000B1BB2">
              <w:rPr>
                <w:rFonts w:ascii="Arial" w:hAnsi="Arial" w:cs="Arial"/>
                <w:sz w:val="18"/>
                <w:szCs w:val="18"/>
              </w:rPr>
              <w:t xml:space="preserve">GPO Box 263 </w:t>
            </w:r>
            <w:r w:rsidR="00ED74AC" w:rsidRPr="000B1BB2">
              <w:rPr>
                <w:rFonts w:ascii="Arial" w:hAnsi="Arial" w:cs="Arial"/>
                <w:sz w:val="18"/>
                <w:szCs w:val="18"/>
              </w:rPr>
              <w:br/>
            </w:r>
            <w:r w:rsidRPr="000B1BB2">
              <w:rPr>
                <w:rFonts w:ascii="Arial" w:hAnsi="Arial" w:cs="Arial"/>
                <w:sz w:val="18"/>
                <w:szCs w:val="18"/>
              </w:rPr>
              <w:t xml:space="preserve">Collins Street West </w:t>
            </w:r>
          </w:p>
          <w:p w14:paraId="4EC2620E" w14:textId="2DDC27BA" w:rsidR="00E96EC1" w:rsidRPr="000B1BB2" w:rsidRDefault="00BB4208" w:rsidP="00A7221D">
            <w:pPr>
              <w:pStyle w:val="TableHeading2"/>
              <w:rPr>
                <w:rFonts w:ascii="Arial" w:hAnsi="Arial" w:cs="Arial"/>
                <w:sz w:val="18"/>
                <w:szCs w:val="18"/>
              </w:rPr>
            </w:pPr>
            <w:r w:rsidRPr="000B1BB2">
              <w:rPr>
                <w:rFonts w:ascii="Arial" w:hAnsi="Arial" w:cs="Arial"/>
                <w:sz w:val="18"/>
                <w:szCs w:val="18"/>
              </w:rPr>
              <w:t>Melbourne VIC 8007</w:t>
            </w:r>
          </w:p>
        </w:tc>
      </w:tr>
    </w:tbl>
    <w:p w14:paraId="12459F23" w14:textId="77777777" w:rsidR="00BB4208" w:rsidRPr="000B1BB2" w:rsidRDefault="00BB4208" w:rsidP="00327675">
      <w:pPr>
        <w:pStyle w:val="TableHeading2"/>
        <w:rPr>
          <w:rFonts w:ascii="Arial" w:hAnsi="Arial" w:cs="Arial"/>
          <w:sz w:val="18"/>
          <w:szCs w:val="18"/>
        </w:rPr>
      </w:pPr>
    </w:p>
    <w:sectPr w:rsidR="00BB4208" w:rsidRPr="000B1BB2" w:rsidSect="004B4120">
      <w:footerReference w:type="even" r:id="rId13"/>
      <w:footerReference w:type="default" r:id="rId14"/>
      <w:type w:val="continuous"/>
      <w:pgSz w:w="11900" w:h="16840"/>
      <w:pgMar w:top="851" w:right="851" w:bottom="567" w:left="851" w:header="709" w:footer="9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414687" w14:textId="77777777" w:rsidR="00A277D5" w:rsidRDefault="00A277D5" w:rsidP="00C4539E">
      <w:pPr>
        <w:spacing w:after="0" w:line="240" w:lineRule="auto"/>
      </w:pPr>
      <w:r>
        <w:separator/>
      </w:r>
    </w:p>
  </w:endnote>
  <w:endnote w:type="continuationSeparator" w:id="0">
    <w:p w14:paraId="717F8B91" w14:textId="77777777" w:rsidR="00A277D5" w:rsidRDefault="00A277D5" w:rsidP="00C4539E">
      <w:pPr>
        <w:spacing w:after="0" w:line="240" w:lineRule="auto"/>
      </w:pPr>
      <w:r>
        <w:continuationSeparator/>
      </w:r>
    </w:p>
  </w:endnote>
  <w:endnote w:type="continuationNotice" w:id="1">
    <w:p w14:paraId="16400BB3" w14:textId="77777777" w:rsidR="00A277D5" w:rsidRDefault="00A277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Sylfaen"/>
    <w:charset w:val="00"/>
    <w:family w:val="auto"/>
    <w:pitch w:val="variable"/>
    <w:sig w:usb0="A00002FF" w:usb1="5000205B" w:usb2="00000002" w:usb3="00000000" w:csb0="0000009B" w:csb1="00000000"/>
  </w:font>
  <w:font w:name="Helvetica Neue Medium">
    <w:altName w:val="Arial"/>
    <w:charset w:val="4D"/>
    <w:family w:val="swiss"/>
    <w:pitch w:val="variable"/>
    <w:sig w:usb0="A00002FF" w:usb1="5000205B" w:usb2="00000002" w:usb3="00000000" w:csb0="0000009B" w:csb1="00000000"/>
  </w:font>
  <w:font w:name="Times New Roman (Body CS)">
    <w:altName w:val="Times New Roman"/>
    <w:charset w:val="00"/>
    <w:family w:val="roman"/>
    <w:pitch w:val="variable"/>
    <w:sig w:usb0="E0002AE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NeueLTStd-Lt">
    <w:altName w:val="Arial"/>
    <w:charset w:val="00"/>
    <w:family w:val="roman"/>
    <w:pitch w:val="variable"/>
  </w:font>
  <w:font w:name="Helvetica Nueu">
    <w:altName w:val="Arial"/>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86174661"/>
      <w:docPartObj>
        <w:docPartGallery w:val="Page Numbers (Bottom of Page)"/>
        <w:docPartUnique/>
      </w:docPartObj>
    </w:sdtPr>
    <w:sdtEndPr>
      <w:rPr>
        <w:rStyle w:val="PageNumber"/>
      </w:rPr>
    </w:sdtEndPr>
    <w:sdtContent>
      <w:p w14:paraId="770D4929" w14:textId="77777777" w:rsidR="00BE6FA9" w:rsidRDefault="00BE6FA9" w:rsidP="00E0655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BC9531" w14:textId="77777777" w:rsidR="00BE6FA9" w:rsidRDefault="00BE6FA9" w:rsidP="004E315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42803" w14:textId="77777777" w:rsidR="00BE6FA9" w:rsidRPr="004E3152" w:rsidRDefault="00BE6FA9" w:rsidP="004E3152">
    <w:pPr>
      <w:pStyle w:val="Footer"/>
      <w:ind w:right="360"/>
      <w:rPr>
        <w:rFonts w:ascii="Helvetica Neue Medium" w:hAnsi="Helvetica Neue Medium"/>
        <w:color w:val="2B41B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A84D5" w14:textId="77777777" w:rsidR="00A277D5" w:rsidRDefault="00A277D5" w:rsidP="00C4539E">
      <w:pPr>
        <w:spacing w:after="0" w:line="240" w:lineRule="auto"/>
      </w:pPr>
      <w:r>
        <w:separator/>
      </w:r>
    </w:p>
  </w:footnote>
  <w:footnote w:type="continuationSeparator" w:id="0">
    <w:p w14:paraId="7C68E341" w14:textId="77777777" w:rsidR="00A277D5" w:rsidRDefault="00A277D5" w:rsidP="00C4539E">
      <w:pPr>
        <w:spacing w:after="0" w:line="240" w:lineRule="auto"/>
      </w:pPr>
      <w:r>
        <w:continuationSeparator/>
      </w:r>
    </w:p>
  </w:footnote>
  <w:footnote w:type="continuationNotice" w:id="1">
    <w:p w14:paraId="4AD325AD" w14:textId="77777777" w:rsidR="00A277D5" w:rsidRDefault="00A277D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851FD"/>
    <w:multiLevelType w:val="hybridMultilevel"/>
    <w:tmpl w:val="351E29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024B94"/>
    <w:multiLevelType w:val="hybridMultilevel"/>
    <w:tmpl w:val="D922A6E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D810A76"/>
    <w:multiLevelType w:val="multilevel"/>
    <w:tmpl w:val="F41217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CB72B3F"/>
    <w:multiLevelType w:val="multilevel"/>
    <w:tmpl w:val="99024AC8"/>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0794035">
    <w:abstractNumId w:val="1"/>
  </w:num>
  <w:num w:numId="2" w16cid:durableId="2082217903">
    <w:abstractNumId w:val="2"/>
  </w:num>
  <w:num w:numId="3" w16cid:durableId="1030573003">
    <w:abstractNumId w:val="3"/>
  </w:num>
  <w:num w:numId="4" w16cid:durableId="13695265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76D"/>
    <w:rsid w:val="00017ED5"/>
    <w:rsid w:val="000207BE"/>
    <w:rsid w:val="00025FA7"/>
    <w:rsid w:val="00030A26"/>
    <w:rsid w:val="0003769B"/>
    <w:rsid w:val="0004423B"/>
    <w:rsid w:val="00070922"/>
    <w:rsid w:val="000726DD"/>
    <w:rsid w:val="000761EC"/>
    <w:rsid w:val="0008537A"/>
    <w:rsid w:val="00093B13"/>
    <w:rsid w:val="000B1BB2"/>
    <w:rsid w:val="000B1CE1"/>
    <w:rsid w:val="000C0BA3"/>
    <w:rsid w:val="000C5F72"/>
    <w:rsid w:val="000D780C"/>
    <w:rsid w:val="00104078"/>
    <w:rsid w:val="0010427C"/>
    <w:rsid w:val="00110DF4"/>
    <w:rsid w:val="001214FD"/>
    <w:rsid w:val="001611CE"/>
    <w:rsid w:val="001737C8"/>
    <w:rsid w:val="0017398E"/>
    <w:rsid w:val="00175F5D"/>
    <w:rsid w:val="001863B5"/>
    <w:rsid w:val="001A09DF"/>
    <w:rsid w:val="001E42FE"/>
    <w:rsid w:val="001F40B4"/>
    <w:rsid w:val="001F6077"/>
    <w:rsid w:val="00203D67"/>
    <w:rsid w:val="0020627E"/>
    <w:rsid w:val="00215AC0"/>
    <w:rsid w:val="00240155"/>
    <w:rsid w:val="00245403"/>
    <w:rsid w:val="00263B2F"/>
    <w:rsid w:val="00272737"/>
    <w:rsid w:val="00276A8D"/>
    <w:rsid w:val="00285CB3"/>
    <w:rsid w:val="00291071"/>
    <w:rsid w:val="002A7664"/>
    <w:rsid w:val="002E0A2F"/>
    <w:rsid w:val="002E5240"/>
    <w:rsid w:val="00301E8A"/>
    <w:rsid w:val="00313078"/>
    <w:rsid w:val="0031338F"/>
    <w:rsid w:val="00327675"/>
    <w:rsid w:val="00352066"/>
    <w:rsid w:val="00384470"/>
    <w:rsid w:val="003A00AF"/>
    <w:rsid w:val="003B07EE"/>
    <w:rsid w:val="003D1DDC"/>
    <w:rsid w:val="003D61F5"/>
    <w:rsid w:val="003D64D2"/>
    <w:rsid w:val="003E150A"/>
    <w:rsid w:val="00406B5D"/>
    <w:rsid w:val="00420E14"/>
    <w:rsid w:val="00421141"/>
    <w:rsid w:val="00422A2F"/>
    <w:rsid w:val="004349BF"/>
    <w:rsid w:val="00437BAB"/>
    <w:rsid w:val="00441A03"/>
    <w:rsid w:val="00446636"/>
    <w:rsid w:val="0044751F"/>
    <w:rsid w:val="00456623"/>
    <w:rsid w:val="004573BA"/>
    <w:rsid w:val="00490245"/>
    <w:rsid w:val="004B4120"/>
    <w:rsid w:val="004C3440"/>
    <w:rsid w:val="004E3152"/>
    <w:rsid w:val="004E3A6B"/>
    <w:rsid w:val="004F7076"/>
    <w:rsid w:val="00503FCB"/>
    <w:rsid w:val="0053374F"/>
    <w:rsid w:val="00557CE3"/>
    <w:rsid w:val="00564E94"/>
    <w:rsid w:val="00572648"/>
    <w:rsid w:val="0057676D"/>
    <w:rsid w:val="0058524C"/>
    <w:rsid w:val="0059063B"/>
    <w:rsid w:val="00591645"/>
    <w:rsid w:val="005A784D"/>
    <w:rsid w:val="005C5611"/>
    <w:rsid w:val="005D1BC8"/>
    <w:rsid w:val="005E4A41"/>
    <w:rsid w:val="005F2FDB"/>
    <w:rsid w:val="005F3840"/>
    <w:rsid w:val="005F5FF6"/>
    <w:rsid w:val="00622D9C"/>
    <w:rsid w:val="0066600D"/>
    <w:rsid w:val="00695B94"/>
    <w:rsid w:val="006A328E"/>
    <w:rsid w:val="006B3691"/>
    <w:rsid w:val="006B4E3A"/>
    <w:rsid w:val="006C28C4"/>
    <w:rsid w:val="006D4E51"/>
    <w:rsid w:val="006E08A5"/>
    <w:rsid w:val="006F5B16"/>
    <w:rsid w:val="007075A7"/>
    <w:rsid w:val="007219E7"/>
    <w:rsid w:val="00734192"/>
    <w:rsid w:val="00746C19"/>
    <w:rsid w:val="0077334F"/>
    <w:rsid w:val="007921A3"/>
    <w:rsid w:val="00793596"/>
    <w:rsid w:val="007B3CBB"/>
    <w:rsid w:val="007C55DC"/>
    <w:rsid w:val="007D1BAD"/>
    <w:rsid w:val="007D619A"/>
    <w:rsid w:val="007E20B4"/>
    <w:rsid w:val="007E585C"/>
    <w:rsid w:val="007E5F9D"/>
    <w:rsid w:val="007F5E73"/>
    <w:rsid w:val="008043E8"/>
    <w:rsid w:val="008125B6"/>
    <w:rsid w:val="00815C81"/>
    <w:rsid w:val="00833472"/>
    <w:rsid w:val="00872C58"/>
    <w:rsid w:val="008A0F78"/>
    <w:rsid w:val="008D492D"/>
    <w:rsid w:val="008D53E9"/>
    <w:rsid w:val="008E2FEA"/>
    <w:rsid w:val="009015A8"/>
    <w:rsid w:val="00903FF5"/>
    <w:rsid w:val="00922B44"/>
    <w:rsid w:val="009233A6"/>
    <w:rsid w:val="009262F6"/>
    <w:rsid w:val="009326BF"/>
    <w:rsid w:val="009479DE"/>
    <w:rsid w:val="00965114"/>
    <w:rsid w:val="009777E2"/>
    <w:rsid w:val="009B4A7B"/>
    <w:rsid w:val="009B57F5"/>
    <w:rsid w:val="00A277D5"/>
    <w:rsid w:val="00A312AC"/>
    <w:rsid w:val="00A333E9"/>
    <w:rsid w:val="00A641B6"/>
    <w:rsid w:val="00A7221D"/>
    <w:rsid w:val="00A7608A"/>
    <w:rsid w:val="00A82A5F"/>
    <w:rsid w:val="00A923E2"/>
    <w:rsid w:val="00AC58B0"/>
    <w:rsid w:val="00AE7F68"/>
    <w:rsid w:val="00B022EC"/>
    <w:rsid w:val="00B02558"/>
    <w:rsid w:val="00B538D1"/>
    <w:rsid w:val="00B623F0"/>
    <w:rsid w:val="00B86474"/>
    <w:rsid w:val="00BA1D9F"/>
    <w:rsid w:val="00BB1C74"/>
    <w:rsid w:val="00BB4208"/>
    <w:rsid w:val="00BB53FF"/>
    <w:rsid w:val="00BD1918"/>
    <w:rsid w:val="00BD1D83"/>
    <w:rsid w:val="00BE6FA9"/>
    <w:rsid w:val="00C02357"/>
    <w:rsid w:val="00C41F3D"/>
    <w:rsid w:val="00C4539E"/>
    <w:rsid w:val="00C46310"/>
    <w:rsid w:val="00C750BA"/>
    <w:rsid w:val="00C94F71"/>
    <w:rsid w:val="00C95ACF"/>
    <w:rsid w:val="00CB1408"/>
    <w:rsid w:val="00CB234E"/>
    <w:rsid w:val="00CC52D2"/>
    <w:rsid w:val="00CD161A"/>
    <w:rsid w:val="00CE2217"/>
    <w:rsid w:val="00CF3A8D"/>
    <w:rsid w:val="00CF4176"/>
    <w:rsid w:val="00D03FB7"/>
    <w:rsid w:val="00D32B0D"/>
    <w:rsid w:val="00D63688"/>
    <w:rsid w:val="00DC622E"/>
    <w:rsid w:val="00DE32DB"/>
    <w:rsid w:val="00E152EC"/>
    <w:rsid w:val="00E27E5D"/>
    <w:rsid w:val="00E301E6"/>
    <w:rsid w:val="00E62EED"/>
    <w:rsid w:val="00E63E48"/>
    <w:rsid w:val="00E64CA4"/>
    <w:rsid w:val="00E96EC1"/>
    <w:rsid w:val="00EA485E"/>
    <w:rsid w:val="00EB612D"/>
    <w:rsid w:val="00EC3C6C"/>
    <w:rsid w:val="00EC7FCE"/>
    <w:rsid w:val="00ED41DB"/>
    <w:rsid w:val="00ED74AC"/>
    <w:rsid w:val="00F16047"/>
    <w:rsid w:val="00F16DC4"/>
    <w:rsid w:val="00F3013C"/>
    <w:rsid w:val="00F307C1"/>
    <w:rsid w:val="00F3207D"/>
    <w:rsid w:val="00F47349"/>
    <w:rsid w:val="00F52A21"/>
    <w:rsid w:val="00F74BF3"/>
    <w:rsid w:val="00F84699"/>
    <w:rsid w:val="00FB7F78"/>
    <w:rsid w:val="00FC2BC8"/>
    <w:rsid w:val="00FE0DF1"/>
    <w:rsid w:val="00FE349C"/>
    <w:rsid w:val="00FE6E1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ACAD3"/>
  <w15:docId w15:val="{6292256A-9A3D-FD47-8F62-8B0C36C3E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2BC8"/>
    <w:pPr>
      <w:spacing w:after="240" w:line="264" w:lineRule="auto"/>
    </w:pPr>
    <w:rPr>
      <w:rFonts w:ascii="Helvetica Neue" w:hAnsi="Helvetica Neue"/>
      <w:color w:val="252729"/>
      <w:sz w:val="16"/>
    </w:rPr>
  </w:style>
  <w:style w:type="paragraph" w:styleId="Heading1">
    <w:name w:val="heading 1"/>
    <w:basedOn w:val="Normal"/>
    <w:next w:val="Normal"/>
    <w:link w:val="Heading1Char"/>
    <w:uiPriority w:val="9"/>
    <w:qFormat/>
    <w:rsid w:val="00746C19"/>
    <w:pPr>
      <w:keepNext/>
      <w:keepLines/>
      <w:outlineLvl w:val="0"/>
    </w:pPr>
    <w:rPr>
      <w:rFonts w:ascii="Helvetica Neue Medium" w:eastAsiaTheme="majorEastAsia" w:hAnsi="Helvetica Neue Medium" w:cstheme="majorBidi"/>
      <w:color w:val="2B41B1"/>
      <w:sz w:val="48"/>
      <w:szCs w:val="32"/>
    </w:rPr>
  </w:style>
  <w:style w:type="paragraph" w:styleId="Heading2">
    <w:name w:val="heading 2"/>
    <w:basedOn w:val="Normal"/>
    <w:next w:val="Normal"/>
    <w:link w:val="Heading2Char"/>
    <w:uiPriority w:val="9"/>
    <w:unhideWhenUsed/>
    <w:qFormat/>
    <w:rsid w:val="00E152EC"/>
    <w:pPr>
      <w:keepNext/>
      <w:keepLines/>
      <w:spacing w:before="40" w:after="0"/>
      <w:outlineLvl w:val="1"/>
    </w:pPr>
    <w:rPr>
      <w:rFonts w:ascii="Helvetica Neue Medium" w:eastAsiaTheme="majorEastAsia" w:hAnsi="Helvetica Neue Medium" w:cstheme="majorBidi"/>
      <w:color w:val="5E5D5D"/>
      <w:sz w:val="28"/>
      <w:szCs w:val="26"/>
    </w:rPr>
  </w:style>
  <w:style w:type="paragraph" w:styleId="Heading3">
    <w:name w:val="heading 3"/>
    <w:basedOn w:val="Normal"/>
    <w:next w:val="Normal"/>
    <w:link w:val="Heading3Char"/>
    <w:uiPriority w:val="9"/>
    <w:unhideWhenUsed/>
    <w:qFormat/>
    <w:rsid w:val="00F16DC4"/>
    <w:pPr>
      <w:keepNext/>
      <w:keepLines/>
      <w:outlineLvl w:val="2"/>
    </w:pPr>
    <w:rPr>
      <w:rFonts w:ascii="Helvetica Neue Medium" w:eastAsiaTheme="majorEastAsia" w:hAnsi="Helvetica Neue Medium" w:cstheme="majorBidi"/>
      <w:color w:val="2B41B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6C19"/>
    <w:rPr>
      <w:rFonts w:ascii="Helvetica Neue Medium" w:eastAsiaTheme="majorEastAsia" w:hAnsi="Helvetica Neue Medium" w:cstheme="majorBidi"/>
      <w:color w:val="2B41B1"/>
      <w:sz w:val="48"/>
      <w:szCs w:val="32"/>
    </w:rPr>
  </w:style>
  <w:style w:type="character" w:customStyle="1" w:styleId="Heading2Char">
    <w:name w:val="Heading 2 Char"/>
    <w:basedOn w:val="DefaultParagraphFont"/>
    <w:link w:val="Heading2"/>
    <w:uiPriority w:val="9"/>
    <w:rsid w:val="00E152EC"/>
    <w:rPr>
      <w:rFonts w:ascii="Helvetica Neue Medium" w:eastAsiaTheme="majorEastAsia" w:hAnsi="Helvetica Neue Medium" w:cstheme="majorBidi"/>
      <w:color w:val="5E5D5D"/>
      <w:sz w:val="28"/>
      <w:szCs w:val="26"/>
    </w:rPr>
  </w:style>
  <w:style w:type="character" w:customStyle="1" w:styleId="Heading3Char">
    <w:name w:val="Heading 3 Char"/>
    <w:basedOn w:val="DefaultParagraphFont"/>
    <w:link w:val="Heading3"/>
    <w:uiPriority w:val="9"/>
    <w:rsid w:val="00F16DC4"/>
    <w:rPr>
      <w:rFonts w:ascii="Helvetica Neue Medium" w:eastAsiaTheme="majorEastAsia" w:hAnsi="Helvetica Neue Medium" w:cstheme="majorBidi"/>
      <w:color w:val="2B41B1"/>
      <w:sz w:val="18"/>
    </w:rPr>
  </w:style>
  <w:style w:type="table" w:styleId="TableGrid">
    <w:name w:val="Table Grid"/>
    <w:basedOn w:val="TableNormal"/>
    <w:uiPriority w:val="39"/>
    <w:rsid w:val="00F16D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16DC4"/>
    <w:rPr>
      <w:rFonts w:ascii="Helvetica Neue" w:hAnsi="Helvetica Neue"/>
      <w:color w:val="252729"/>
      <w:sz w:val="18"/>
    </w:rPr>
  </w:style>
  <w:style w:type="paragraph" w:customStyle="1" w:styleId="TableHeading">
    <w:name w:val="Table Heading"/>
    <w:basedOn w:val="Normal"/>
    <w:qFormat/>
    <w:rsid w:val="00572648"/>
    <w:pPr>
      <w:spacing w:after="0"/>
    </w:pPr>
    <w:rPr>
      <w:rFonts w:ascii="Helvetica Neue Medium" w:hAnsi="Helvetica Neue Medium"/>
      <w:color w:val="2B41B1"/>
      <w:szCs w:val="15"/>
    </w:rPr>
  </w:style>
  <w:style w:type="paragraph" w:customStyle="1" w:styleId="Table">
    <w:name w:val="Table"/>
    <w:basedOn w:val="Normal"/>
    <w:next w:val="Normal"/>
    <w:qFormat/>
    <w:rsid w:val="00572648"/>
    <w:pPr>
      <w:spacing w:after="0"/>
    </w:pPr>
    <w:rPr>
      <w:sz w:val="15"/>
      <w:szCs w:val="15"/>
    </w:rPr>
  </w:style>
  <w:style w:type="paragraph" w:customStyle="1" w:styleId="TableHeading2">
    <w:name w:val="Table Heading 2"/>
    <w:basedOn w:val="TableHeading"/>
    <w:qFormat/>
    <w:rsid w:val="00572648"/>
    <w:rPr>
      <w:color w:val="252729"/>
      <w:sz w:val="15"/>
    </w:rPr>
  </w:style>
  <w:style w:type="paragraph" w:styleId="FootnoteText">
    <w:name w:val="footnote text"/>
    <w:basedOn w:val="Normal"/>
    <w:link w:val="FootnoteTextChar"/>
    <w:uiPriority w:val="99"/>
    <w:unhideWhenUsed/>
    <w:rsid w:val="00C4539E"/>
    <w:pPr>
      <w:spacing w:after="0" w:line="240" w:lineRule="auto"/>
    </w:pPr>
    <w:rPr>
      <w:sz w:val="20"/>
      <w:szCs w:val="20"/>
    </w:rPr>
  </w:style>
  <w:style w:type="character" w:customStyle="1" w:styleId="FootnoteTextChar">
    <w:name w:val="Footnote Text Char"/>
    <w:basedOn w:val="DefaultParagraphFont"/>
    <w:link w:val="FootnoteText"/>
    <w:uiPriority w:val="99"/>
    <w:rsid w:val="00C4539E"/>
    <w:rPr>
      <w:rFonts w:ascii="Helvetica Neue" w:hAnsi="Helvetica Neue"/>
      <w:color w:val="252729"/>
      <w:sz w:val="20"/>
      <w:szCs w:val="20"/>
    </w:rPr>
  </w:style>
  <w:style w:type="character" w:styleId="FootnoteReference">
    <w:name w:val="footnote reference"/>
    <w:basedOn w:val="DefaultParagraphFont"/>
    <w:uiPriority w:val="99"/>
    <w:semiHidden/>
    <w:unhideWhenUsed/>
    <w:rsid w:val="00C4539E"/>
    <w:rPr>
      <w:vertAlign w:val="superscript"/>
    </w:rPr>
  </w:style>
  <w:style w:type="paragraph" w:customStyle="1" w:styleId="Footnote">
    <w:name w:val="Footnote"/>
    <w:basedOn w:val="Normal"/>
    <w:next w:val="Normal"/>
    <w:qFormat/>
    <w:rsid w:val="004E3152"/>
    <w:pPr>
      <w:ind w:left="170" w:right="-284" w:hanging="170"/>
    </w:pPr>
    <w:rPr>
      <w:rFonts w:cs="Times New Roman (Body CS)"/>
      <w:sz w:val="15"/>
    </w:rPr>
  </w:style>
  <w:style w:type="paragraph" w:styleId="Header">
    <w:name w:val="header"/>
    <w:basedOn w:val="Normal"/>
    <w:link w:val="HeaderChar"/>
    <w:uiPriority w:val="99"/>
    <w:unhideWhenUsed/>
    <w:rsid w:val="004E3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3152"/>
    <w:rPr>
      <w:rFonts w:ascii="Helvetica Neue" w:hAnsi="Helvetica Neue"/>
      <w:color w:val="252729"/>
      <w:sz w:val="16"/>
    </w:rPr>
  </w:style>
  <w:style w:type="paragraph" w:styleId="Footer">
    <w:name w:val="footer"/>
    <w:basedOn w:val="Normal"/>
    <w:link w:val="FooterChar"/>
    <w:uiPriority w:val="99"/>
    <w:unhideWhenUsed/>
    <w:rsid w:val="004E3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3152"/>
    <w:rPr>
      <w:rFonts w:ascii="Helvetica Neue" w:hAnsi="Helvetica Neue"/>
      <w:color w:val="252729"/>
      <w:sz w:val="16"/>
    </w:rPr>
  </w:style>
  <w:style w:type="character" w:styleId="PageNumber">
    <w:name w:val="page number"/>
    <w:basedOn w:val="DefaultParagraphFont"/>
    <w:uiPriority w:val="99"/>
    <w:semiHidden/>
    <w:unhideWhenUsed/>
    <w:rsid w:val="004E3152"/>
  </w:style>
  <w:style w:type="character" w:styleId="Hyperlink">
    <w:name w:val="Hyperlink"/>
    <w:basedOn w:val="DefaultParagraphFont"/>
    <w:uiPriority w:val="99"/>
    <w:unhideWhenUsed/>
    <w:rsid w:val="00833472"/>
    <w:rPr>
      <w:color w:val="0563C1" w:themeColor="hyperlink"/>
      <w:u w:val="single"/>
    </w:rPr>
  </w:style>
  <w:style w:type="character" w:styleId="FollowedHyperlink">
    <w:name w:val="FollowedHyperlink"/>
    <w:basedOn w:val="DefaultParagraphFont"/>
    <w:uiPriority w:val="99"/>
    <w:semiHidden/>
    <w:unhideWhenUsed/>
    <w:rsid w:val="00833472"/>
    <w:rPr>
      <w:color w:val="954F72" w:themeColor="followedHyperlink"/>
      <w:u w:val="single"/>
    </w:rPr>
  </w:style>
  <w:style w:type="character" w:customStyle="1" w:styleId="UnresolvedMention1">
    <w:name w:val="Unresolved Mention1"/>
    <w:basedOn w:val="DefaultParagraphFont"/>
    <w:uiPriority w:val="99"/>
    <w:semiHidden/>
    <w:unhideWhenUsed/>
    <w:rsid w:val="00833472"/>
    <w:rPr>
      <w:color w:val="808080"/>
      <w:shd w:val="clear" w:color="auto" w:fill="E6E6E6"/>
    </w:rPr>
  </w:style>
  <w:style w:type="paragraph" w:customStyle="1" w:styleId="TableParagraph">
    <w:name w:val="Table Paragraph"/>
    <w:basedOn w:val="Normal"/>
    <w:uiPriority w:val="1"/>
    <w:qFormat/>
    <w:rsid w:val="0010427C"/>
    <w:pPr>
      <w:widowControl w:val="0"/>
      <w:autoSpaceDE w:val="0"/>
      <w:autoSpaceDN w:val="0"/>
      <w:spacing w:after="0" w:line="240" w:lineRule="auto"/>
    </w:pPr>
    <w:rPr>
      <w:rFonts w:ascii="Arial" w:eastAsia="Arial" w:hAnsi="Arial" w:cs="Arial"/>
      <w:color w:val="auto"/>
      <w:sz w:val="22"/>
      <w:szCs w:val="22"/>
      <w:lang w:bidi="en-US"/>
    </w:rPr>
  </w:style>
  <w:style w:type="paragraph" w:styleId="BalloonText">
    <w:name w:val="Balloon Text"/>
    <w:basedOn w:val="Normal"/>
    <w:link w:val="BalloonTextChar"/>
    <w:uiPriority w:val="99"/>
    <w:semiHidden/>
    <w:unhideWhenUsed/>
    <w:rsid w:val="00AE7F68"/>
    <w:pPr>
      <w:spacing w:after="0" w:line="240" w:lineRule="auto"/>
    </w:pPr>
    <w:rPr>
      <w:rFonts w:ascii="Tahoma" w:hAnsi="Tahoma" w:cs="Tahoma"/>
      <w:szCs w:val="16"/>
    </w:rPr>
  </w:style>
  <w:style w:type="character" w:customStyle="1" w:styleId="BalloonTextChar">
    <w:name w:val="Balloon Text Char"/>
    <w:basedOn w:val="DefaultParagraphFont"/>
    <w:link w:val="BalloonText"/>
    <w:uiPriority w:val="99"/>
    <w:semiHidden/>
    <w:rsid w:val="00AE7F68"/>
    <w:rPr>
      <w:rFonts w:ascii="Tahoma" w:hAnsi="Tahoma" w:cs="Tahoma"/>
      <w:color w:val="252729"/>
      <w:sz w:val="16"/>
      <w:szCs w:val="16"/>
    </w:rPr>
  </w:style>
  <w:style w:type="character" w:customStyle="1" w:styleId="ListParagraphChar">
    <w:name w:val="List Paragraph Char"/>
    <w:basedOn w:val="DefaultParagraphFont"/>
    <w:link w:val="ListParagraph"/>
    <w:uiPriority w:val="34"/>
    <w:locked/>
    <w:rsid w:val="001E42FE"/>
  </w:style>
  <w:style w:type="paragraph" w:styleId="ListParagraph">
    <w:name w:val="List Paragraph"/>
    <w:basedOn w:val="Normal"/>
    <w:link w:val="ListParagraphChar"/>
    <w:uiPriority w:val="34"/>
    <w:qFormat/>
    <w:rsid w:val="001E42FE"/>
    <w:pPr>
      <w:spacing w:after="200" w:line="276" w:lineRule="auto"/>
      <w:ind w:left="720"/>
      <w:contextualSpacing/>
    </w:pPr>
    <w:rPr>
      <w:rFonts w:asciiTheme="minorHAnsi" w:hAnsiTheme="minorHAnsi"/>
      <w:color w:val="auto"/>
      <w:sz w:val="24"/>
    </w:rPr>
  </w:style>
  <w:style w:type="paragraph" w:styleId="BodyText">
    <w:name w:val="Body Text"/>
    <w:basedOn w:val="Normal"/>
    <w:link w:val="BodyTextChar"/>
    <w:uiPriority w:val="1"/>
    <w:unhideWhenUsed/>
    <w:rsid w:val="003A00AF"/>
    <w:pPr>
      <w:autoSpaceDE w:val="0"/>
      <w:autoSpaceDN w:val="0"/>
      <w:spacing w:before="120" w:after="0" w:line="252" w:lineRule="auto"/>
      <w:ind w:left="992" w:right="851"/>
    </w:pPr>
    <w:rPr>
      <w:rFonts w:ascii="HelveticaNeueLTStd-Lt" w:hAnsi="HelveticaNeueLTStd-Lt" w:cs="Calibri"/>
      <w:color w:val="212327"/>
      <w:sz w:val="18"/>
      <w:szCs w:val="18"/>
    </w:rPr>
  </w:style>
  <w:style w:type="character" w:customStyle="1" w:styleId="BodyTextChar">
    <w:name w:val="Body Text Char"/>
    <w:basedOn w:val="DefaultParagraphFont"/>
    <w:link w:val="BodyText"/>
    <w:uiPriority w:val="1"/>
    <w:rsid w:val="003A00AF"/>
    <w:rPr>
      <w:rFonts w:ascii="HelveticaNeueLTStd-Lt" w:hAnsi="HelveticaNeueLTStd-Lt" w:cs="Calibri"/>
      <w:color w:val="212327"/>
      <w:sz w:val="18"/>
      <w:szCs w:val="18"/>
    </w:rPr>
  </w:style>
  <w:style w:type="paragraph" w:styleId="Revision">
    <w:name w:val="Revision"/>
    <w:hidden/>
    <w:uiPriority w:val="99"/>
    <w:semiHidden/>
    <w:rsid w:val="00441A03"/>
    <w:rPr>
      <w:rFonts w:ascii="Helvetica Neue" w:hAnsi="Helvetica Neue"/>
      <w:color w:val="252729"/>
      <w:sz w:val="16"/>
    </w:rPr>
  </w:style>
  <w:style w:type="character" w:styleId="CommentReference">
    <w:name w:val="annotation reference"/>
    <w:basedOn w:val="DefaultParagraphFont"/>
    <w:semiHidden/>
    <w:unhideWhenUsed/>
    <w:rsid w:val="003D1DDC"/>
    <w:rPr>
      <w:sz w:val="16"/>
      <w:szCs w:val="16"/>
    </w:rPr>
  </w:style>
  <w:style w:type="paragraph" w:styleId="CommentText">
    <w:name w:val="annotation text"/>
    <w:basedOn w:val="Normal"/>
    <w:link w:val="CommentTextChar"/>
    <w:unhideWhenUsed/>
    <w:rsid w:val="003D1DDC"/>
    <w:pPr>
      <w:spacing w:line="240" w:lineRule="auto"/>
    </w:pPr>
    <w:rPr>
      <w:sz w:val="20"/>
      <w:szCs w:val="20"/>
    </w:rPr>
  </w:style>
  <w:style w:type="character" w:customStyle="1" w:styleId="CommentTextChar">
    <w:name w:val="Comment Text Char"/>
    <w:basedOn w:val="DefaultParagraphFont"/>
    <w:link w:val="CommentText"/>
    <w:rsid w:val="003D1DDC"/>
    <w:rPr>
      <w:rFonts w:ascii="Helvetica Neue" w:hAnsi="Helvetica Neue"/>
      <w:color w:val="252729"/>
      <w:sz w:val="20"/>
      <w:szCs w:val="20"/>
    </w:rPr>
  </w:style>
  <w:style w:type="paragraph" w:styleId="CommentSubject">
    <w:name w:val="annotation subject"/>
    <w:basedOn w:val="CommentText"/>
    <w:next w:val="CommentText"/>
    <w:link w:val="CommentSubjectChar"/>
    <w:uiPriority w:val="99"/>
    <w:semiHidden/>
    <w:unhideWhenUsed/>
    <w:rsid w:val="003D1DDC"/>
    <w:rPr>
      <w:b/>
      <w:bCs/>
    </w:rPr>
  </w:style>
  <w:style w:type="character" w:customStyle="1" w:styleId="CommentSubjectChar">
    <w:name w:val="Comment Subject Char"/>
    <w:basedOn w:val="CommentTextChar"/>
    <w:link w:val="CommentSubject"/>
    <w:uiPriority w:val="99"/>
    <w:semiHidden/>
    <w:rsid w:val="003D1DDC"/>
    <w:rPr>
      <w:rFonts w:ascii="Helvetica Neue" w:hAnsi="Helvetica Neue"/>
      <w:b/>
      <w:bCs/>
      <w:color w:val="252729"/>
      <w:sz w:val="20"/>
      <w:szCs w:val="20"/>
    </w:rPr>
  </w:style>
  <w:style w:type="paragraph" w:customStyle="1" w:styleId="Default">
    <w:name w:val="Default"/>
    <w:rsid w:val="00C46310"/>
    <w:pPr>
      <w:autoSpaceDE w:val="0"/>
      <w:autoSpaceDN w:val="0"/>
      <w:adjustRightInd w:val="0"/>
    </w:pPr>
    <w:rPr>
      <w:rFonts w:ascii="Helvetica Neue" w:hAnsi="Helvetica Neue" w:cs="Helvetica Neue"/>
      <w:color w:val="000000"/>
    </w:rPr>
  </w:style>
  <w:style w:type="character" w:customStyle="1" w:styleId="DVCommentChar">
    <w:name w:val="DV Comment Char"/>
    <w:basedOn w:val="DefaultParagraphFont"/>
    <w:link w:val="DVComment"/>
    <w:locked/>
    <w:rsid w:val="00456623"/>
    <w:rPr>
      <w:noProof/>
      <w:color w:val="333F48"/>
      <w:lang w:val="en-US"/>
    </w:rPr>
  </w:style>
  <w:style w:type="paragraph" w:customStyle="1" w:styleId="DVComment">
    <w:name w:val="DV Comment"/>
    <w:basedOn w:val="Normal"/>
    <w:link w:val="DVCommentChar"/>
    <w:qFormat/>
    <w:rsid w:val="00456623"/>
    <w:pPr>
      <w:spacing w:after="160" w:line="256" w:lineRule="auto"/>
    </w:pPr>
    <w:rPr>
      <w:rFonts w:asciiTheme="minorHAnsi" w:hAnsiTheme="minorHAnsi"/>
      <w:noProof/>
      <w:color w:val="333F48"/>
      <w:sz w:val="24"/>
      <w:lang w:val="en-US"/>
    </w:rPr>
  </w:style>
  <w:style w:type="paragraph" w:styleId="NormalWeb">
    <w:name w:val="Normal (Web)"/>
    <w:basedOn w:val="Normal"/>
    <w:uiPriority w:val="99"/>
    <w:semiHidden/>
    <w:unhideWhenUsed/>
    <w:rsid w:val="003B07EE"/>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618199">
      <w:bodyDiv w:val="1"/>
      <w:marLeft w:val="0"/>
      <w:marRight w:val="0"/>
      <w:marTop w:val="0"/>
      <w:marBottom w:val="0"/>
      <w:divBdr>
        <w:top w:val="none" w:sz="0" w:space="0" w:color="auto"/>
        <w:left w:val="none" w:sz="0" w:space="0" w:color="auto"/>
        <w:bottom w:val="none" w:sz="0" w:space="0" w:color="auto"/>
        <w:right w:val="none" w:sz="0" w:space="0" w:color="auto"/>
      </w:divBdr>
    </w:div>
    <w:div w:id="260645268">
      <w:bodyDiv w:val="1"/>
      <w:marLeft w:val="0"/>
      <w:marRight w:val="0"/>
      <w:marTop w:val="0"/>
      <w:marBottom w:val="0"/>
      <w:divBdr>
        <w:top w:val="none" w:sz="0" w:space="0" w:color="auto"/>
        <w:left w:val="none" w:sz="0" w:space="0" w:color="auto"/>
        <w:bottom w:val="none" w:sz="0" w:space="0" w:color="auto"/>
        <w:right w:val="none" w:sz="0" w:space="0" w:color="auto"/>
      </w:divBdr>
    </w:div>
    <w:div w:id="328097656">
      <w:bodyDiv w:val="1"/>
      <w:marLeft w:val="0"/>
      <w:marRight w:val="0"/>
      <w:marTop w:val="0"/>
      <w:marBottom w:val="0"/>
      <w:divBdr>
        <w:top w:val="none" w:sz="0" w:space="0" w:color="auto"/>
        <w:left w:val="none" w:sz="0" w:space="0" w:color="auto"/>
        <w:bottom w:val="none" w:sz="0" w:space="0" w:color="auto"/>
        <w:right w:val="none" w:sz="0" w:space="0" w:color="auto"/>
      </w:divBdr>
    </w:div>
    <w:div w:id="332144024">
      <w:bodyDiv w:val="1"/>
      <w:marLeft w:val="0"/>
      <w:marRight w:val="0"/>
      <w:marTop w:val="0"/>
      <w:marBottom w:val="0"/>
      <w:divBdr>
        <w:top w:val="none" w:sz="0" w:space="0" w:color="auto"/>
        <w:left w:val="none" w:sz="0" w:space="0" w:color="auto"/>
        <w:bottom w:val="none" w:sz="0" w:space="0" w:color="auto"/>
        <w:right w:val="none" w:sz="0" w:space="0" w:color="auto"/>
      </w:divBdr>
    </w:div>
    <w:div w:id="354960659">
      <w:bodyDiv w:val="1"/>
      <w:marLeft w:val="0"/>
      <w:marRight w:val="0"/>
      <w:marTop w:val="0"/>
      <w:marBottom w:val="0"/>
      <w:divBdr>
        <w:top w:val="none" w:sz="0" w:space="0" w:color="auto"/>
        <w:left w:val="none" w:sz="0" w:space="0" w:color="auto"/>
        <w:bottom w:val="none" w:sz="0" w:space="0" w:color="auto"/>
        <w:right w:val="none" w:sz="0" w:space="0" w:color="auto"/>
      </w:divBdr>
    </w:div>
    <w:div w:id="528953856">
      <w:bodyDiv w:val="1"/>
      <w:marLeft w:val="0"/>
      <w:marRight w:val="0"/>
      <w:marTop w:val="0"/>
      <w:marBottom w:val="0"/>
      <w:divBdr>
        <w:top w:val="none" w:sz="0" w:space="0" w:color="auto"/>
        <w:left w:val="none" w:sz="0" w:space="0" w:color="auto"/>
        <w:bottom w:val="none" w:sz="0" w:space="0" w:color="auto"/>
        <w:right w:val="none" w:sz="0" w:space="0" w:color="auto"/>
      </w:divBdr>
    </w:div>
    <w:div w:id="618071970">
      <w:bodyDiv w:val="1"/>
      <w:marLeft w:val="0"/>
      <w:marRight w:val="0"/>
      <w:marTop w:val="0"/>
      <w:marBottom w:val="0"/>
      <w:divBdr>
        <w:top w:val="none" w:sz="0" w:space="0" w:color="auto"/>
        <w:left w:val="none" w:sz="0" w:space="0" w:color="auto"/>
        <w:bottom w:val="none" w:sz="0" w:space="0" w:color="auto"/>
        <w:right w:val="none" w:sz="0" w:space="0" w:color="auto"/>
      </w:divBdr>
    </w:div>
    <w:div w:id="628248015">
      <w:bodyDiv w:val="1"/>
      <w:marLeft w:val="0"/>
      <w:marRight w:val="0"/>
      <w:marTop w:val="0"/>
      <w:marBottom w:val="0"/>
      <w:divBdr>
        <w:top w:val="none" w:sz="0" w:space="0" w:color="auto"/>
        <w:left w:val="none" w:sz="0" w:space="0" w:color="auto"/>
        <w:bottom w:val="none" w:sz="0" w:space="0" w:color="auto"/>
        <w:right w:val="none" w:sz="0" w:space="0" w:color="auto"/>
      </w:divBdr>
    </w:div>
    <w:div w:id="1017078778">
      <w:bodyDiv w:val="1"/>
      <w:marLeft w:val="0"/>
      <w:marRight w:val="0"/>
      <w:marTop w:val="0"/>
      <w:marBottom w:val="0"/>
      <w:divBdr>
        <w:top w:val="none" w:sz="0" w:space="0" w:color="auto"/>
        <w:left w:val="none" w:sz="0" w:space="0" w:color="auto"/>
        <w:bottom w:val="none" w:sz="0" w:space="0" w:color="auto"/>
        <w:right w:val="none" w:sz="0" w:space="0" w:color="auto"/>
      </w:divBdr>
    </w:div>
    <w:div w:id="1101799736">
      <w:bodyDiv w:val="1"/>
      <w:marLeft w:val="0"/>
      <w:marRight w:val="0"/>
      <w:marTop w:val="0"/>
      <w:marBottom w:val="0"/>
      <w:divBdr>
        <w:top w:val="none" w:sz="0" w:space="0" w:color="auto"/>
        <w:left w:val="none" w:sz="0" w:space="0" w:color="auto"/>
        <w:bottom w:val="none" w:sz="0" w:space="0" w:color="auto"/>
        <w:right w:val="none" w:sz="0" w:space="0" w:color="auto"/>
      </w:divBdr>
    </w:div>
    <w:div w:id="1184324228">
      <w:bodyDiv w:val="1"/>
      <w:marLeft w:val="0"/>
      <w:marRight w:val="0"/>
      <w:marTop w:val="0"/>
      <w:marBottom w:val="0"/>
      <w:divBdr>
        <w:top w:val="none" w:sz="0" w:space="0" w:color="auto"/>
        <w:left w:val="none" w:sz="0" w:space="0" w:color="auto"/>
        <w:bottom w:val="none" w:sz="0" w:space="0" w:color="auto"/>
        <w:right w:val="none" w:sz="0" w:space="0" w:color="auto"/>
      </w:divBdr>
    </w:div>
    <w:div w:id="1201550930">
      <w:bodyDiv w:val="1"/>
      <w:marLeft w:val="0"/>
      <w:marRight w:val="0"/>
      <w:marTop w:val="0"/>
      <w:marBottom w:val="0"/>
      <w:divBdr>
        <w:top w:val="none" w:sz="0" w:space="0" w:color="auto"/>
        <w:left w:val="none" w:sz="0" w:space="0" w:color="auto"/>
        <w:bottom w:val="none" w:sz="0" w:space="0" w:color="auto"/>
        <w:right w:val="none" w:sz="0" w:space="0" w:color="auto"/>
      </w:divBdr>
    </w:div>
    <w:div w:id="1205480067">
      <w:bodyDiv w:val="1"/>
      <w:marLeft w:val="0"/>
      <w:marRight w:val="0"/>
      <w:marTop w:val="0"/>
      <w:marBottom w:val="0"/>
      <w:divBdr>
        <w:top w:val="none" w:sz="0" w:space="0" w:color="auto"/>
        <w:left w:val="none" w:sz="0" w:space="0" w:color="auto"/>
        <w:bottom w:val="none" w:sz="0" w:space="0" w:color="auto"/>
        <w:right w:val="none" w:sz="0" w:space="0" w:color="auto"/>
      </w:divBdr>
    </w:div>
    <w:div w:id="1242831317">
      <w:bodyDiv w:val="1"/>
      <w:marLeft w:val="0"/>
      <w:marRight w:val="0"/>
      <w:marTop w:val="0"/>
      <w:marBottom w:val="0"/>
      <w:divBdr>
        <w:top w:val="none" w:sz="0" w:space="0" w:color="auto"/>
        <w:left w:val="none" w:sz="0" w:space="0" w:color="auto"/>
        <w:bottom w:val="none" w:sz="0" w:space="0" w:color="auto"/>
        <w:right w:val="none" w:sz="0" w:space="0" w:color="auto"/>
      </w:divBdr>
    </w:div>
    <w:div w:id="1258363300">
      <w:bodyDiv w:val="1"/>
      <w:marLeft w:val="0"/>
      <w:marRight w:val="0"/>
      <w:marTop w:val="0"/>
      <w:marBottom w:val="0"/>
      <w:divBdr>
        <w:top w:val="none" w:sz="0" w:space="0" w:color="auto"/>
        <w:left w:val="none" w:sz="0" w:space="0" w:color="auto"/>
        <w:bottom w:val="none" w:sz="0" w:space="0" w:color="auto"/>
        <w:right w:val="none" w:sz="0" w:space="0" w:color="auto"/>
      </w:divBdr>
    </w:div>
    <w:div w:id="1333682545">
      <w:bodyDiv w:val="1"/>
      <w:marLeft w:val="0"/>
      <w:marRight w:val="0"/>
      <w:marTop w:val="0"/>
      <w:marBottom w:val="0"/>
      <w:divBdr>
        <w:top w:val="none" w:sz="0" w:space="0" w:color="auto"/>
        <w:left w:val="none" w:sz="0" w:space="0" w:color="auto"/>
        <w:bottom w:val="none" w:sz="0" w:space="0" w:color="auto"/>
        <w:right w:val="none" w:sz="0" w:space="0" w:color="auto"/>
      </w:divBdr>
    </w:div>
    <w:div w:id="1339230921">
      <w:bodyDiv w:val="1"/>
      <w:marLeft w:val="0"/>
      <w:marRight w:val="0"/>
      <w:marTop w:val="0"/>
      <w:marBottom w:val="0"/>
      <w:divBdr>
        <w:top w:val="none" w:sz="0" w:space="0" w:color="auto"/>
        <w:left w:val="none" w:sz="0" w:space="0" w:color="auto"/>
        <w:bottom w:val="none" w:sz="0" w:space="0" w:color="auto"/>
        <w:right w:val="none" w:sz="0" w:space="0" w:color="auto"/>
      </w:divBdr>
    </w:div>
    <w:div w:id="1430200142">
      <w:bodyDiv w:val="1"/>
      <w:marLeft w:val="0"/>
      <w:marRight w:val="0"/>
      <w:marTop w:val="0"/>
      <w:marBottom w:val="0"/>
      <w:divBdr>
        <w:top w:val="none" w:sz="0" w:space="0" w:color="auto"/>
        <w:left w:val="none" w:sz="0" w:space="0" w:color="auto"/>
        <w:bottom w:val="none" w:sz="0" w:space="0" w:color="auto"/>
        <w:right w:val="none" w:sz="0" w:space="0" w:color="auto"/>
      </w:divBdr>
    </w:div>
    <w:div w:id="1621373500">
      <w:bodyDiv w:val="1"/>
      <w:marLeft w:val="0"/>
      <w:marRight w:val="0"/>
      <w:marTop w:val="0"/>
      <w:marBottom w:val="0"/>
      <w:divBdr>
        <w:top w:val="none" w:sz="0" w:space="0" w:color="auto"/>
        <w:left w:val="none" w:sz="0" w:space="0" w:color="auto"/>
        <w:bottom w:val="none" w:sz="0" w:space="0" w:color="auto"/>
        <w:right w:val="none" w:sz="0" w:space="0" w:color="auto"/>
      </w:divBdr>
    </w:div>
    <w:div w:id="1670014336">
      <w:bodyDiv w:val="1"/>
      <w:marLeft w:val="0"/>
      <w:marRight w:val="0"/>
      <w:marTop w:val="0"/>
      <w:marBottom w:val="0"/>
      <w:divBdr>
        <w:top w:val="none" w:sz="0" w:space="0" w:color="auto"/>
        <w:left w:val="none" w:sz="0" w:space="0" w:color="auto"/>
        <w:bottom w:val="none" w:sz="0" w:space="0" w:color="auto"/>
        <w:right w:val="none" w:sz="0" w:space="0" w:color="auto"/>
      </w:divBdr>
    </w:div>
    <w:div w:id="1747653305">
      <w:bodyDiv w:val="1"/>
      <w:marLeft w:val="0"/>
      <w:marRight w:val="0"/>
      <w:marTop w:val="0"/>
      <w:marBottom w:val="0"/>
      <w:divBdr>
        <w:top w:val="none" w:sz="0" w:space="0" w:color="auto"/>
        <w:left w:val="none" w:sz="0" w:space="0" w:color="auto"/>
        <w:bottom w:val="none" w:sz="0" w:space="0" w:color="auto"/>
        <w:right w:val="none" w:sz="0" w:space="0" w:color="auto"/>
      </w:divBdr>
    </w:div>
    <w:div w:id="1797217186">
      <w:bodyDiv w:val="1"/>
      <w:marLeft w:val="0"/>
      <w:marRight w:val="0"/>
      <w:marTop w:val="0"/>
      <w:marBottom w:val="0"/>
      <w:divBdr>
        <w:top w:val="none" w:sz="0" w:space="0" w:color="auto"/>
        <w:left w:val="none" w:sz="0" w:space="0" w:color="auto"/>
        <w:bottom w:val="none" w:sz="0" w:space="0" w:color="auto"/>
        <w:right w:val="none" w:sz="0" w:space="0" w:color="auto"/>
      </w:divBdr>
    </w:div>
    <w:div w:id="1806507659">
      <w:bodyDiv w:val="1"/>
      <w:marLeft w:val="0"/>
      <w:marRight w:val="0"/>
      <w:marTop w:val="0"/>
      <w:marBottom w:val="0"/>
      <w:divBdr>
        <w:top w:val="none" w:sz="0" w:space="0" w:color="auto"/>
        <w:left w:val="none" w:sz="0" w:space="0" w:color="auto"/>
        <w:bottom w:val="none" w:sz="0" w:space="0" w:color="auto"/>
        <w:right w:val="none" w:sz="0" w:space="0" w:color="auto"/>
      </w:divBdr>
    </w:div>
    <w:div w:id="1926725262">
      <w:bodyDiv w:val="1"/>
      <w:marLeft w:val="0"/>
      <w:marRight w:val="0"/>
      <w:marTop w:val="0"/>
      <w:marBottom w:val="0"/>
      <w:divBdr>
        <w:top w:val="none" w:sz="0" w:space="0" w:color="auto"/>
        <w:left w:val="none" w:sz="0" w:space="0" w:color="auto"/>
        <w:bottom w:val="none" w:sz="0" w:space="0" w:color="auto"/>
        <w:right w:val="none" w:sz="0" w:space="0" w:color="auto"/>
      </w:divBdr>
    </w:div>
    <w:div w:id="2109232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78F79706D19948998078E4B20F253D" ma:contentTypeVersion="12" ma:contentTypeDescription="Create a new document." ma:contentTypeScope="" ma:versionID="a0f66c982539a9bfefaa61bd7c12ad59">
  <xsd:schema xmlns:xsd="http://www.w3.org/2001/XMLSchema" xmlns:xs="http://www.w3.org/2001/XMLSchema" xmlns:p="http://schemas.microsoft.com/office/2006/metadata/properties" xmlns:ns2="62b29416-e017-40a3-8d95-e7c158e97766" xmlns:ns3="60da3f48-1805-4b94-aed1-3afec1dd2d91" targetNamespace="http://schemas.microsoft.com/office/2006/metadata/properties" ma:root="true" ma:fieldsID="93f5dd13d3fcca80b95432618824804b" ns2:_="" ns3:_="">
    <xsd:import namespace="62b29416-e017-40a3-8d95-e7c158e97766"/>
    <xsd:import namespace="60da3f48-1805-4b94-aed1-3afec1dd2d9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b29416-e017-40a3-8d95-e7c158e977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6908cb3-bfa2-4328-b362-d8c43138db3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da3f48-1805-4b94-aed1-3afec1dd2d9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f19e4f3-3d03-491f-b0e2-d1449299405f}" ma:internalName="TaxCatchAll" ma:showField="CatchAllData" ma:web="60da3f48-1805-4b94-aed1-3afec1dd2d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2b29416-e017-40a3-8d95-e7c158e97766">
      <Terms xmlns="http://schemas.microsoft.com/office/infopath/2007/PartnerControls"/>
    </lcf76f155ced4ddcb4097134ff3c332f>
    <TaxCatchAll xmlns="60da3f48-1805-4b94-aed1-3afec1dd2d9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779784D-DB0E-441A-AB41-3670E8009F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b29416-e017-40a3-8d95-e7c158e97766"/>
    <ds:schemaRef ds:uri="60da3f48-1805-4b94-aed1-3afec1dd2d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ACDA2C-112C-494F-8F08-998F21E9566B}">
  <ds:schemaRefs>
    <ds:schemaRef ds:uri="http://schemas.microsoft.com/office/2006/metadata/properties"/>
    <ds:schemaRef ds:uri="http://schemas.microsoft.com/office/infopath/2007/PartnerControls"/>
    <ds:schemaRef ds:uri="62b29416-e017-40a3-8d95-e7c158e97766"/>
    <ds:schemaRef ds:uri="60da3f48-1805-4b94-aed1-3afec1dd2d91"/>
  </ds:schemaRefs>
</ds:datastoreItem>
</file>

<file path=customXml/itemProps3.xml><?xml version="1.0" encoding="utf-8"?>
<ds:datastoreItem xmlns:ds="http://schemas.openxmlformats.org/officeDocument/2006/customXml" ds:itemID="{1925252C-5CF1-44CC-98E9-A2D37B9B6734}">
  <ds:schemaRefs>
    <ds:schemaRef ds:uri="http://schemas.openxmlformats.org/officeDocument/2006/bibliography"/>
  </ds:schemaRefs>
</ds:datastoreItem>
</file>

<file path=customXml/itemProps4.xml><?xml version="1.0" encoding="utf-8"?>
<ds:datastoreItem xmlns:ds="http://schemas.openxmlformats.org/officeDocument/2006/customXml" ds:itemID="{0A5F88D8-054B-49FC-A889-9C63AAE7738D}">
  <ds:schemaRefs>
    <ds:schemaRef ds:uri="http://schemas.microsoft.com/sharepoint/v3/contenttype/forms"/>
  </ds:schemaRefs>
</ds:datastoreItem>
</file>

<file path=docMetadata/LabelInfo.xml><?xml version="1.0" encoding="utf-8"?>
<clbl:labelList xmlns:clbl="http://schemas.microsoft.com/office/2020/mipLabelMetadata">
  <clbl:label id="{3f8de446-0ae2-4157-a3ba-871e6f29bc46}" enabled="0" method="" siteId="{3f8de446-0ae2-4157-a3ba-871e6f29bc46}" removed="1"/>
</clbl:labelList>
</file>

<file path=docProps/app.xml><?xml version="1.0" encoding="utf-8"?>
<Properties xmlns="http://schemas.openxmlformats.org/officeDocument/2006/extended-properties" xmlns:vt="http://schemas.openxmlformats.org/officeDocument/2006/docPropsVTypes">
  <Template>Normal</Template>
  <TotalTime>0</TotalTime>
  <Pages>4</Pages>
  <Words>1928</Words>
  <Characters>10995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Chin Lee</cp:lastModifiedBy>
  <cp:revision>2</cp:revision>
  <cp:lastPrinted>2018-07-06T05:34:00Z</cp:lastPrinted>
  <dcterms:created xsi:type="dcterms:W3CDTF">2025-04-29T02:15:00Z</dcterms:created>
  <dcterms:modified xsi:type="dcterms:W3CDTF">2025-04-29T02:15:00Z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0x0101005678F79706D19948998078E4B20F253D</vt:lpwstr>
  </property>
  <property fmtid="{D5CDD505-2E9C-101B-9397-08002B2CF9AE}" pid="3" name="Order">
    <vt:r8>3707800</vt:r8>
  </property>
  <property fmtid="{D5CDD505-2E9C-101B-9397-08002B2CF9AE}" pid="4" name="MediaServiceImageTags">
    <vt:lpwstr/>
  </property>
</Properties>
</file>