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BFC92" w14:textId="77777777" w:rsidR="0044751F" w:rsidRPr="00793596" w:rsidRDefault="0044751F">
      <w:pPr>
        <w:rPr>
          <w:rFonts w:ascii="Helvetica" w:hAnsi="Helvetica"/>
        </w:rPr>
      </w:pPr>
      <w:r w:rsidRPr="00793596">
        <w:rPr>
          <w:rFonts w:ascii="Helvetica" w:hAnsi="Helvetica"/>
          <w:noProof/>
          <w:lang w:val="en-GB" w:eastAsia="en-GB"/>
        </w:rPr>
        <w:drawing>
          <wp:inline distT="0" distB="0" distL="0" distR="0" wp14:anchorId="1D424441" wp14:editId="237DA9C9">
            <wp:extent cx="1616400" cy="431528"/>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ration Life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6400" cy="431528"/>
                    </a:xfrm>
                    <a:prstGeom prst="rect">
                      <a:avLst/>
                    </a:prstGeom>
                  </pic:spPr>
                </pic:pic>
              </a:graphicData>
            </a:graphic>
          </wp:inline>
        </w:drawing>
      </w:r>
    </w:p>
    <w:p w14:paraId="26354023" w14:textId="77777777" w:rsidR="00C4539E" w:rsidRPr="00793596" w:rsidRDefault="00C4539E">
      <w:pPr>
        <w:rPr>
          <w:rFonts w:ascii="Helvetica" w:hAnsi="Helvetica"/>
        </w:rPr>
      </w:pPr>
    </w:p>
    <w:p w14:paraId="5502C120" w14:textId="47627F59" w:rsidR="00E27E5D" w:rsidRPr="00793596" w:rsidRDefault="00E27E5D" w:rsidP="00572648">
      <w:pPr>
        <w:pStyle w:val="Heading2"/>
        <w:rPr>
          <w:rFonts w:ascii="Helvetica" w:hAnsi="Helvetica"/>
          <w:color w:val="2B41B1"/>
          <w:sz w:val="48"/>
          <w:szCs w:val="32"/>
        </w:rPr>
      </w:pPr>
      <w:r w:rsidRPr="00793596">
        <w:rPr>
          <w:rFonts w:ascii="Helvetica" w:hAnsi="Helvetica"/>
          <w:color w:val="2B41B1"/>
          <w:sz w:val="48"/>
          <w:szCs w:val="32"/>
        </w:rPr>
        <w:br/>
        <w:t xml:space="preserve">Sample Record of Advice or </w:t>
      </w:r>
    </w:p>
    <w:p w14:paraId="15E24CFE" w14:textId="46C903BD" w:rsidR="00FE6E18" w:rsidRPr="00793596" w:rsidRDefault="00E27E5D" w:rsidP="00572648">
      <w:pPr>
        <w:pStyle w:val="Heading2"/>
        <w:rPr>
          <w:rFonts w:ascii="Helvetica" w:hAnsi="Helvetica"/>
          <w:color w:val="2B41B1"/>
          <w:sz w:val="48"/>
          <w:szCs w:val="32"/>
        </w:rPr>
      </w:pPr>
      <w:r w:rsidRPr="00793596">
        <w:rPr>
          <w:rFonts w:ascii="Helvetica" w:hAnsi="Helvetica"/>
          <w:color w:val="2B41B1"/>
          <w:sz w:val="48"/>
          <w:szCs w:val="32"/>
        </w:rPr>
        <w:t>Statement of Advice inserts</w:t>
      </w:r>
      <w:r w:rsidRPr="00793596">
        <w:rPr>
          <w:rFonts w:ascii="Helvetica" w:hAnsi="Helvetica"/>
          <w:color w:val="2B41B1"/>
          <w:sz w:val="48"/>
          <w:szCs w:val="32"/>
        </w:rPr>
        <w:tab/>
      </w:r>
      <w:r w:rsidRPr="00793596">
        <w:rPr>
          <w:rFonts w:ascii="Helvetica" w:hAnsi="Helvetica"/>
          <w:color w:val="2B41B1"/>
          <w:sz w:val="48"/>
          <w:szCs w:val="32"/>
        </w:rPr>
        <w:tab/>
      </w:r>
      <w:r w:rsidRPr="00793596">
        <w:rPr>
          <w:rFonts w:ascii="Helvetica" w:hAnsi="Helvetica"/>
          <w:color w:val="2B41B1"/>
          <w:sz w:val="48"/>
          <w:szCs w:val="32"/>
        </w:rPr>
        <w:tab/>
      </w:r>
      <w:r w:rsidR="00B538D1" w:rsidRPr="00793596">
        <w:rPr>
          <w:rFonts w:ascii="Helvetica" w:hAnsi="Helvetica"/>
          <w:color w:val="2B41B1"/>
          <w:sz w:val="48"/>
          <w:szCs w:val="32"/>
        </w:rPr>
        <w:tab/>
      </w:r>
      <w:r w:rsidR="0010427C" w:rsidRPr="00793596">
        <w:rPr>
          <w:rFonts w:ascii="Helvetica" w:hAnsi="Helvetica"/>
          <w:noProof/>
          <w:color w:val="2B41B1"/>
          <w:sz w:val="48"/>
          <w:szCs w:val="32"/>
          <w:lang w:val="en-GB" w:eastAsia="en-GB"/>
        </w:rPr>
        <w:drawing>
          <wp:inline distT="0" distB="0" distL="0" distR="0" wp14:anchorId="681ED630" wp14:editId="020BEDEC">
            <wp:extent cx="216000" cy="216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rner Arrow.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p>
    <w:p w14:paraId="5CA8F581" w14:textId="0EFE991A" w:rsidR="00503FCB" w:rsidRPr="00793596" w:rsidRDefault="00BE6FA9" w:rsidP="007D619A">
      <w:pPr>
        <w:spacing w:before="120" w:after="0"/>
        <w:rPr>
          <w:rFonts w:ascii="Helvetica" w:eastAsiaTheme="majorEastAsia" w:hAnsi="Helvetica" w:cstheme="majorBidi"/>
          <w:color w:val="5E5D5D"/>
          <w:sz w:val="32"/>
          <w:szCs w:val="32"/>
        </w:rPr>
      </w:pPr>
      <w:r w:rsidRPr="00793596">
        <w:rPr>
          <w:rFonts w:ascii="Helvetica" w:eastAsiaTheme="majorEastAsia" w:hAnsi="Helvetica" w:cstheme="majorBidi"/>
          <w:color w:val="5E5D5D"/>
          <w:sz w:val="32"/>
          <w:szCs w:val="32"/>
        </w:rPr>
        <w:br/>
      </w:r>
      <w:bookmarkStart w:id="0" w:name="_Hlk41560842"/>
      <w:bookmarkStart w:id="1" w:name="_Hlk41561154"/>
      <w:r w:rsidR="00E27E5D" w:rsidRPr="00793596">
        <w:rPr>
          <w:rFonts w:ascii="Helvetica" w:eastAsiaTheme="majorEastAsia" w:hAnsi="Helvetica" w:cstheme="majorBidi"/>
          <w:color w:val="5E5D5D"/>
          <w:sz w:val="32"/>
          <w:szCs w:val="32"/>
        </w:rPr>
        <w:t>Generation Life Investment Bonds</w:t>
      </w:r>
      <w:r w:rsidR="00E27E5D" w:rsidRPr="00793596">
        <w:rPr>
          <w:rFonts w:ascii="Helvetica" w:hAnsi="Helvetica"/>
          <w:sz w:val="20"/>
          <w:szCs w:val="32"/>
        </w:rPr>
        <w:br/>
      </w:r>
      <w:r w:rsidR="00872C58">
        <w:rPr>
          <w:rFonts w:ascii="Helvetica" w:eastAsiaTheme="majorEastAsia" w:hAnsi="Helvetica" w:cstheme="majorBidi"/>
          <w:color w:val="5E5D5D"/>
          <w:sz w:val="32"/>
          <w:szCs w:val="32"/>
        </w:rPr>
        <w:t>Investment</w:t>
      </w:r>
      <w:r w:rsidR="00872C58" w:rsidRPr="00793596">
        <w:rPr>
          <w:rFonts w:ascii="Helvetica" w:eastAsiaTheme="majorEastAsia" w:hAnsi="Helvetica" w:cstheme="majorBidi"/>
          <w:color w:val="5E5D5D"/>
          <w:sz w:val="32"/>
          <w:szCs w:val="32"/>
        </w:rPr>
        <w:t xml:space="preserve"> </w:t>
      </w:r>
      <w:r w:rsidR="00E27E5D" w:rsidRPr="00793596">
        <w:rPr>
          <w:rFonts w:ascii="Helvetica" w:eastAsiaTheme="majorEastAsia" w:hAnsi="Helvetica" w:cstheme="majorBidi"/>
          <w:color w:val="5E5D5D"/>
          <w:sz w:val="32"/>
          <w:szCs w:val="32"/>
        </w:rPr>
        <w:t xml:space="preserve">manager change - </w:t>
      </w:r>
      <w:r w:rsidR="009326BF">
        <w:rPr>
          <w:rFonts w:ascii="Helvetica" w:eastAsiaTheme="majorEastAsia" w:hAnsi="Helvetica" w:cstheme="majorBidi"/>
          <w:color w:val="5E5D5D"/>
          <w:sz w:val="32"/>
          <w:szCs w:val="32"/>
        </w:rPr>
        <w:t>Diversified fixed interest</w:t>
      </w:r>
      <w:r w:rsidR="00E27E5D" w:rsidRPr="00793596">
        <w:rPr>
          <w:rFonts w:ascii="Helvetica" w:eastAsiaTheme="majorEastAsia" w:hAnsi="Helvetica" w:cstheme="majorBidi"/>
          <w:color w:val="5E5D5D"/>
          <w:sz w:val="32"/>
          <w:szCs w:val="32"/>
        </w:rPr>
        <w:t xml:space="preserve"> (</w:t>
      </w:r>
      <w:r w:rsidR="009326BF" w:rsidRPr="00793596">
        <w:rPr>
          <w:rFonts w:ascii="Helvetica" w:eastAsiaTheme="majorEastAsia" w:hAnsi="Helvetica" w:cstheme="majorBidi"/>
          <w:color w:val="5E5D5D"/>
          <w:sz w:val="32"/>
          <w:szCs w:val="32"/>
        </w:rPr>
        <w:t>UF</w:t>
      </w:r>
      <w:r w:rsidR="009326BF">
        <w:rPr>
          <w:rFonts w:ascii="Helvetica" w:eastAsiaTheme="majorEastAsia" w:hAnsi="Helvetica" w:cstheme="majorBidi"/>
          <w:color w:val="5E5D5D"/>
          <w:sz w:val="32"/>
          <w:szCs w:val="32"/>
        </w:rPr>
        <w:t>03</w:t>
      </w:r>
      <w:r w:rsidR="00503FCB" w:rsidRPr="00793596">
        <w:rPr>
          <w:rFonts w:ascii="Helvetica" w:eastAsiaTheme="majorEastAsia" w:hAnsi="Helvetica" w:cstheme="majorBidi"/>
          <w:color w:val="5E5D5D"/>
          <w:sz w:val="32"/>
          <w:szCs w:val="32"/>
        </w:rPr>
        <w:t>)</w:t>
      </w:r>
    </w:p>
    <w:p w14:paraId="0DDDAC3C" w14:textId="584440F4" w:rsidR="00E27E5D" w:rsidRPr="00793596" w:rsidRDefault="00503FCB" w:rsidP="00503FCB">
      <w:pPr>
        <w:spacing w:after="0"/>
        <w:rPr>
          <w:rFonts w:ascii="Helvetica" w:eastAsiaTheme="majorEastAsia" w:hAnsi="Helvetica" w:cstheme="majorBidi"/>
          <w:color w:val="5E5D5D"/>
          <w:sz w:val="32"/>
          <w:szCs w:val="32"/>
        </w:rPr>
      </w:pPr>
      <w:r w:rsidRPr="00793596">
        <w:rPr>
          <w:rFonts w:ascii="Helvetica" w:eastAsiaTheme="majorEastAsia" w:hAnsi="Helvetica" w:cstheme="majorBidi"/>
          <w:color w:val="5E5D5D"/>
          <w:sz w:val="32"/>
          <w:szCs w:val="32"/>
        </w:rPr>
        <w:t xml:space="preserve">Generation Life APIR code - </w:t>
      </w:r>
      <w:r w:rsidR="009326BF">
        <w:rPr>
          <w:rFonts w:ascii="Helvetica" w:eastAsiaTheme="majorEastAsia" w:hAnsi="Helvetica" w:cstheme="majorBidi"/>
          <w:color w:val="5E5D5D"/>
          <w:sz w:val="32"/>
          <w:szCs w:val="32"/>
        </w:rPr>
        <w:t>ALL0017AU</w:t>
      </w:r>
    </w:p>
    <w:p w14:paraId="3B8DBB98" w14:textId="77777777" w:rsidR="00E27E5D" w:rsidRPr="00793596" w:rsidRDefault="00E27E5D" w:rsidP="00E27E5D">
      <w:pPr>
        <w:ind w:right="-75"/>
        <w:rPr>
          <w:rFonts w:ascii="Helvetica" w:hAnsi="Helvetica"/>
          <w:b/>
          <w:bCs/>
          <w:color w:val="2B41B1"/>
          <w:sz w:val="18"/>
          <w:szCs w:val="28"/>
        </w:rPr>
      </w:pPr>
    </w:p>
    <w:p w14:paraId="2B32CF8A" w14:textId="332F604A" w:rsidR="00E27E5D" w:rsidRPr="00793596" w:rsidRDefault="00E27E5D" w:rsidP="00E27E5D">
      <w:pPr>
        <w:ind w:right="-75"/>
        <w:rPr>
          <w:rFonts w:ascii="Helvetica" w:hAnsi="Helvetica"/>
          <w:b/>
          <w:bCs/>
          <w:color w:val="2B41B1"/>
          <w:sz w:val="18"/>
          <w:szCs w:val="18"/>
        </w:rPr>
      </w:pPr>
      <w:r w:rsidRPr="00793596">
        <w:rPr>
          <w:rFonts w:ascii="Helvetica" w:hAnsi="Helvetica"/>
          <w:b/>
          <w:bCs/>
          <w:color w:val="2B41B1"/>
          <w:sz w:val="18"/>
          <w:szCs w:val="18"/>
        </w:rPr>
        <w:t>WHAT’S CHANGING?</w:t>
      </w:r>
    </w:p>
    <w:p w14:paraId="5750A684" w14:textId="31E6C32F" w:rsidR="00E27E5D" w:rsidRPr="00591645" w:rsidRDefault="00E27E5D" w:rsidP="00E27E5D">
      <w:pPr>
        <w:ind w:right="-75"/>
        <w:rPr>
          <w:rFonts w:ascii="Helvetica" w:hAnsi="Helvetica"/>
          <w:sz w:val="18"/>
          <w:szCs w:val="18"/>
        </w:rPr>
      </w:pPr>
      <w:r w:rsidRPr="00591645">
        <w:rPr>
          <w:rFonts w:ascii="Helvetica" w:hAnsi="Helvetica"/>
          <w:sz w:val="18"/>
          <w:szCs w:val="18"/>
        </w:rPr>
        <w:t xml:space="preserve">The Generation Life </w:t>
      </w:r>
      <w:r w:rsidR="00622D9C">
        <w:rPr>
          <w:rFonts w:ascii="Helvetica" w:hAnsi="Helvetica"/>
          <w:sz w:val="18"/>
          <w:szCs w:val="18"/>
        </w:rPr>
        <w:t xml:space="preserve">Diversified fixed interest </w:t>
      </w:r>
      <w:r w:rsidRPr="00591645">
        <w:rPr>
          <w:rFonts w:ascii="Helvetica" w:hAnsi="Helvetica"/>
          <w:sz w:val="18"/>
          <w:szCs w:val="18"/>
        </w:rPr>
        <w:t xml:space="preserve">option (Fund Code </w:t>
      </w:r>
      <w:r w:rsidR="009326BF" w:rsidRPr="00591645">
        <w:rPr>
          <w:rFonts w:ascii="Helvetica" w:hAnsi="Helvetica"/>
          <w:sz w:val="18"/>
          <w:szCs w:val="18"/>
        </w:rPr>
        <w:t>UF</w:t>
      </w:r>
      <w:r w:rsidR="00F16047">
        <w:rPr>
          <w:rFonts w:ascii="Helvetica" w:hAnsi="Helvetica"/>
          <w:sz w:val="18"/>
          <w:szCs w:val="18"/>
        </w:rPr>
        <w:t>0</w:t>
      </w:r>
      <w:r w:rsidR="009326BF">
        <w:rPr>
          <w:rFonts w:ascii="Helvetica" w:hAnsi="Helvetica"/>
          <w:sz w:val="18"/>
          <w:szCs w:val="18"/>
        </w:rPr>
        <w:t>3</w:t>
      </w:r>
      <w:r w:rsidRPr="00591645">
        <w:rPr>
          <w:rFonts w:ascii="Helvetica" w:hAnsi="Helvetica"/>
          <w:sz w:val="18"/>
          <w:szCs w:val="18"/>
        </w:rPr>
        <w:t xml:space="preserve">) is changing </w:t>
      </w:r>
      <w:r w:rsidR="00872C58" w:rsidRPr="00591645">
        <w:rPr>
          <w:rFonts w:ascii="Helvetica" w:hAnsi="Helvetica"/>
          <w:sz w:val="18"/>
          <w:szCs w:val="18"/>
        </w:rPr>
        <w:t xml:space="preserve">investment </w:t>
      </w:r>
      <w:r w:rsidRPr="00591645">
        <w:rPr>
          <w:rFonts w:ascii="Helvetica" w:hAnsi="Helvetica"/>
          <w:sz w:val="18"/>
          <w:szCs w:val="18"/>
        </w:rPr>
        <w:t>manager and strategy.</w:t>
      </w:r>
    </w:p>
    <w:p w14:paraId="4C10F76F" w14:textId="0A906D09" w:rsidR="00E27E5D" w:rsidRPr="00591645" w:rsidRDefault="009326BF" w:rsidP="00E27E5D">
      <w:pPr>
        <w:ind w:right="-75"/>
        <w:rPr>
          <w:rFonts w:ascii="Helvetica" w:hAnsi="Helvetica"/>
          <w:sz w:val="18"/>
          <w:szCs w:val="18"/>
        </w:rPr>
      </w:pPr>
      <w:r>
        <w:rPr>
          <w:rFonts w:ascii="Helvetica" w:hAnsi="Helvetica"/>
          <w:sz w:val="18"/>
          <w:szCs w:val="18"/>
        </w:rPr>
        <w:t>Pendal Institutional Limited</w:t>
      </w:r>
      <w:r w:rsidR="00422A2F">
        <w:rPr>
          <w:rFonts w:ascii="Helvetica" w:hAnsi="Helvetica"/>
          <w:sz w:val="18"/>
          <w:szCs w:val="18"/>
        </w:rPr>
        <w:t xml:space="preserve"> </w:t>
      </w:r>
      <w:r w:rsidR="00E27E5D" w:rsidRPr="00591645">
        <w:rPr>
          <w:rFonts w:ascii="Helvetica" w:hAnsi="Helvetica"/>
          <w:sz w:val="18"/>
          <w:szCs w:val="18"/>
        </w:rPr>
        <w:t xml:space="preserve">is being replaced as the investment option’s manager with </w:t>
      </w:r>
      <w:r w:rsidR="004573BA">
        <w:rPr>
          <w:rFonts w:ascii="Helvetica" w:hAnsi="Helvetica"/>
          <w:sz w:val="18"/>
          <w:szCs w:val="18"/>
        </w:rPr>
        <w:t xml:space="preserve">Yarra </w:t>
      </w:r>
      <w:r w:rsidR="0017398E">
        <w:rPr>
          <w:rFonts w:ascii="Helvetica" w:hAnsi="Helvetica"/>
          <w:sz w:val="18"/>
          <w:szCs w:val="18"/>
        </w:rPr>
        <w:t>Capital Management</w:t>
      </w:r>
      <w:r w:rsidR="003D1DDC" w:rsidRPr="00591645">
        <w:rPr>
          <w:rFonts w:ascii="Helvetica" w:hAnsi="Helvetica"/>
          <w:sz w:val="18"/>
          <w:szCs w:val="18"/>
        </w:rPr>
        <w:t>.</w:t>
      </w:r>
      <w:r w:rsidR="00E27E5D" w:rsidRPr="00591645">
        <w:rPr>
          <w:rFonts w:ascii="Helvetica" w:hAnsi="Helvetica"/>
          <w:sz w:val="18"/>
          <w:szCs w:val="18"/>
        </w:rPr>
        <w:t xml:space="preserve"> As a result, the investment option</w:t>
      </w:r>
      <w:r w:rsidR="00441A03" w:rsidRPr="00591645">
        <w:rPr>
          <w:rFonts w:ascii="Helvetica" w:hAnsi="Helvetica"/>
          <w:sz w:val="18"/>
          <w:szCs w:val="18"/>
        </w:rPr>
        <w:t>’</w:t>
      </w:r>
      <w:r w:rsidR="00E27E5D" w:rsidRPr="00591645">
        <w:rPr>
          <w:rFonts w:ascii="Helvetica" w:hAnsi="Helvetica"/>
          <w:sz w:val="18"/>
          <w:szCs w:val="18"/>
        </w:rPr>
        <w:t xml:space="preserve">s strategy will now change from the </w:t>
      </w:r>
      <w:r w:rsidR="004573BA">
        <w:rPr>
          <w:rFonts w:ascii="Helvetica" w:hAnsi="Helvetica"/>
          <w:sz w:val="18"/>
          <w:szCs w:val="18"/>
        </w:rPr>
        <w:t>Pendal Enhanced Credit Fund</w:t>
      </w:r>
      <w:r w:rsidR="003D1DDC" w:rsidRPr="00591645" w:rsidDel="003D1DDC">
        <w:rPr>
          <w:rFonts w:ascii="Helvetica" w:hAnsi="Helvetica"/>
          <w:sz w:val="18"/>
          <w:szCs w:val="18"/>
        </w:rPr>
        <w:t xml:space="preserve"> </w:t>
      </w:r>
      <w:r w:rsidR="00E27E5D" w:rsidRPr="00591645">
        <w:rPr>
          <w:rFonts w:ascii="Helvetica" w:hAnsi="Helvetica"/>
          <w:sz w:val="18"/>
          <w:szCs w:val="18"/>
        </w:rPr>
        <w:t xml:space="preserve">to the </w:t>
      </w:r>
      <w:r w:rsidR="004573BA">
        <w:rPr>
          <w:rFonts w:ascii="Helvetica" w:hAnsi="Helvetica"/>
          <w:sz w:val="18"/>
          <w:szCs w:val="18"/>
        </w:rPr>
        <w:t>Yarra Enhanced Income Fund</w:t>
      </w:r>
      <w:r w:rsidR="003D1DDC" w:rsidRPr="00591645">
        <w:rPr>
          <w:rFonts w:ascii="Helvetica" w:hAnsi="Helvetica"/>
          <w:sz w:val="18"/>
          <w:szCs w:val="18"/>
        </w:rPr>
        <w:t xml:space="preserve"> </w:t>
      </w:r>
      <w:r w:rsidR="00E27E5D" w:rsidRPr="00591645">
        <w:rPr>
          <w:rFonts w:ascii="Helvetica" w:hAnsi="Helvetica"/>
          <w:sz w:val="18"/>
          <w:szCs w:val="18"/>
        </w:rPr>
        <w:t>strategy</w:t>
      </w:r>
      <w:r w:rsidR="00CF4176">
        <w:rPr>
          <w:rFonts w:ascii="Helvetica" w:hAnsi="Helvetica"/>
          <w:sz w:val="18"/>
          <w:szCs w:val="18"/>
        </w:rPr>
        <w:t xml:space="preserve"> effective </w:t>
      </w:r>
      <w:r w:rsidR="00272737">
        <w:rPr>
          <w:rFonts w:ascii="Helvetica" w:hAnsi="Helvetica"/>
          <w:sz w:val="18"/>
          <w:szCs w:val="18"/>
        </w:rPr>
        <w:t>23</w:t>
      </w:r>
      <w:r w:rsidR="00CF4176">
        <w:rPr>
          <w:rFonts w:ascii="Helvetica" w:hAnsi="Helvetica"/>
          <w:sz w:val="18"/>
          <w:szCs w:val="18"/>
        </w:rPr>
        <w:t xml:space="preserve"> May 2024</w:t>
      </w:r>
      <w:r w:rsidR="00E27E5D" w:rsidRPr="00591645">
        <w:rPr>
          <w:rFonts w:ascii="Helvetica" w:hAnsi="Helvetica"/>
          <w:sz w:val="18"/>
          <w:szCs w:val="18"/>
        </w:rPr>
        <w:t>.</w:t>
      </w:r>
    </w:p>
    <w:p w14:paraId="41F1433A" w14:textId="77777777" w:rsidR="00E27E5D" w:rsidRPr="00591645" w:rsidRDefault="00E27E5D" w:rsidP="00E27E5D">
      <w:pPr>
        <w:ind w:right="-75"/>
        <w:rPr>
          <w:rFonts w:ascii="Helvetica" w:hAnsi="Helvetica"/>
          <w:b/>
          <w:bCs/>
          <w:color w:val="2B41B1"/>
          <w:sz w:val="18"/>
          <w:szCs w:val="18"/>
        </w:rPr>
      </w:pPr>
      <w:r w:rsidRPr="00591645">
        <w:rPr>
          <w:rFonts w:ascii="Helvetica" w:hAnsi="Helvetica"/>
          <w:b/>
          <w:bCs/>
          <w:color w:val="2B41B1"/>
          <w:sz w:val="18"/>
          <w:szCs w:val="18"/>
        </w:rPr>
        <w:t>WHY IS IT CHANGING?</w:t>
      </w:r>
    </w:p>
    <w:p w14:paraId="1DF9FC6A" w14:textId="34D2012C" w:rsidR="007219E7" w:rsidRDefault="00F16047" w:rsidP="00422A2F">
      <w:pPr>
        <w:ind w:right="-75"/>
        <w:rPr>
          <w:rFonts w:ascii="Helvetica" w:hAnsi="Helvetica"/>
          <w:sz w:val="18"/>
          <w:szCs w:val="18"/>
        </w:rPr>
      </w:pPr>
      <w:r w:rsidRPr="00422A2F">
        <w:rPr>
          <w:rFonts w:ascii="Helvetica" w:hAnsi="Helvetica"/>
          <w:sz w:val="18"/>
          <w:szCs w:val="18"/>
        </w:rPr>
        <w:t xml:space="preserve">Over the last few quarters and following its acquisition from Perpetual, the Pendal Enhanced Credit Fund has experienced a material reduction of funds under management within the strategy. </w:t>
      </w:r>
      <w:r w:rsidR="00422A2F">
        <w:rPr>
          <w:rFonts w:ascii="Helvetica" w:hAnsi="Helvetica"/>
          <w:sz w:val="18"/>
          <w:szCs w:val="18"/>
        </w:rPr>
        <w:t xml:space="preserve">As a result, </w:t>
      </w:r>
      <w:r w:rsidRPr="00422A2F">
        <w:rPr>
          <w:rFonts w:ascii="Helvetica" w:hAnsi="Helvetica"/>
          <w:sz w:val="18"/>
          <w:szCs w:val="18"/>
        </w:rPr>
        <w:t xml:space="preserve">Generation Life’s investment holding has become large compared to the overall size of the </w:t>
      </w:r>
      <w:r w:rsidR="00422A2F">
        <w:rPr>
          <w:rFonts w:ascii="Helvetica" w:hAnsi="Helvetica"/>
          <w:sz w:val="18"/>
          <w:szCs w:val="18"/>
        </w:rPr>
        <w:t>strategy</w:t>
      </w:r>
      <w:r w:rsidRPr="00422A2F">
        <w:rPr>
          <w:rFonts w:ascii="Helvetica" w:hAnsi="Helvetica"/>
          <w:sz w:val="18"/>
          <w:szCs w:val="18"/>
        </w:rPr>
        <w:t xml:space="preserve">, </w:t>
      </w:r>
      <w:r w:rsidR="00422A2F">
        <w:rPr>
          <w:rFonts w:ascii="Helvetica" w:hAnsi="Helvetica"/>
          <w:sz w:val="18"/>
          <w:szCs w:val="18"/>
        </w:rPr>
        <w:t xml:space="preserve">increasing the level of concentration risk held in the underlying strategy. </w:t>
      </w:r>
      <w:r w:rsidRPr="00422A2F">
        <w:rPr>
          <w:rFonts w:ascii="Helvetica" w:hAnsi="Helvetica"/>
          <w:sz w:val="18"/>
          <w:szCs w:val="18"/>
        </w:rPr>
        <w:t>Generation Life</w:t>
      </w:r>
      <w:r w:rsidR="00422A2F">
        <w:rPr>
          <w:rFonts w:ascii="Helvetica" w:hAnsi="Helvetica"/>
          <w:sz w:val="18"/>
          <w:szCs w:val="18"/>
        </w:rPr>
        <w:t>’s</w:t>
      </w:r>
      <w:r w:rsidRPr="00422A2F">
        <w:rPr>
          <w:rFonts w:ascii="Helvetica" w:hAnsi="Helvetica"/>
          <w:sz w:val="18"/>
          <w:szCs w:val="18"/>
        </w:rPr>
        <w:t xml:space="preserve"> </w:t>
      </w:r>
      <w:r w:rsidR="00422A2F">
        <w:rPr>
          <w:rFonts w:ascii="Helvetica" w:hAnsi="Helvetica"/>
          <w:sz w:val="18"/>
          <w:szCs w:val="18"/>
        </w:rPr>
        <w:t xml:space="preserve">risk management framework requires that concentration risk be mitigated. </w:t>
      </w:r>
    </w:p>
    <w:p w14:paraId="6DD436F3" w14:textId="212E10B8" w:rsidR="00F16047" w:rsidRPr="00422A2F" w:rsidRDefault="007921A3" w:rsidP="00422A2F">
      <w:pPr>
        <w:ind w:right="-75"/>
        <w:rPr>
          <w:rFonts w:ascii="Helvetica" w:hAnsi="Helvetica"/>
          <w:sz w:val="18"/>
          <w:szCs w:val="18"/>
        </w:rPr>
      </w:pPr>
      <w:r>
        <w:rPr>
          <w:rFonts w:ascii="Helvetica" w:hAnsi="Helvetica"/>
          <w:sz w:val="18"/>
          <w:szCs w:val="18"/>
        </w:rPr>
        <w:t>T</w:t>
      </w:r>
      <w:r w:rsidR="00422A2F">
        <w:rPr>
          <w:rFonts w:ascii="Helvetica" w:hAnsi="Helvetica"/>
          <w:sz w:val="18"/>
          <w:szCs w:val="18"/>
        </w:rPr>
        <w:t>he reduction in the size of the underlying strategy is</w:t>
      </w:r>
      <w:r w:rsidR="008125B6">
        <w:rPr>
          <w:rFonts w:ascii="Helvetica" w:hAnsi="Helvetica"/>
          <w:sz w:val="18"/>
          <w:szCs w:val="18"/>
        </w:rPr>
        <w:t xml:space="preserve"> anticipated to, </w:t>
      </w:r>
      <w:r w:rsidR="00422A2F">
        <w:rPr>
          <w:rFonts w:ascii="Helvetica" w:hAnsi="Helvetica"/>
          <w:sz w:val="18"/>
          <w:szCs w:val="18"/>
        </w:rPr>
        <w:t>over time</w:t>
      </w:r>
      <w:r w:rsidR="008125B6">
        <w:rPr>
          <w:rFonts w:ascii="Helvetica" w:hAnsi="Helvetica"/>
          <w:sz w:val="18"/>
          <w:szCs w:val="18"/>
        </w:rPr>
        <w:t>,</w:t>
      </w:r>
      <w:r w:rsidR="00422A2F">
        <w:rPr>
          <w:rFonts w:ascii="Helvetica" w:hAnsi="Helvetica"/>
          <w:sz w:val="18"/>
          <w:szCs w:val="18"/>
        </w:rPr>
        <w:t xml:space="preserve"> impact  costs and overall performance</w:t>
      </w:r>
      <w:r w:rsidR="008125B6">
        <w:rPr>
          <w:rFonts w:ascii="Helvetica" w:hAnsi="Helvetica"/>
          <w:sz w:val="18"/>
          <w:szCs w:val="18"/>
        </w:rPr>
        <w:t>.</w:t>
      </w:r>
    </w:p>
    <w:p w14:paraId="06C40932" w14:textId="400A99D4" w:rsidR="00422A2F" w:rsidRDefault="00422A2F" w:rsidP="00422A2F">
      <w:pPr>
        <w:ind w:right="-75"/>
        <w:rPr>
          <w:rFonts w:ascii="Helvetica" w:hAnsi="Helvetica"/>
          <w:sz w:val="18"/>
          <w:szCs w:val="18"/>
        </w:rPr>
      </w:pPr>
      <w:r>
        <w:rPr>
          <w:rFonts w:ascii="Helvetica" w:hAnsi="Helvetica"/>
          <w:sz w:val="18"/>
          <w:szCs w:val="18"/>
        </w:rPr>
        <w:t xml:space="preserve">Generation Life has </w:t>
      </w:r>
      <w:r w:rsidR="008125B6">
        <w:rPr>
          <w:rFonts w:ascii="Helvetica" w:hAnsi="Helvetica"/>
          <w:sz w:val="18"/>
          <w:szCs w:val="18"/>
        </w:rPr>
        <w:t xml:space="preserve">considered </w:t>
      </w:r>
      <w:r>
        <w:rPr>
          <w:rFonts w:ascii="Helvetica" w:hAnsi="Helvetica"/>
          <w:sz w:val="18"/>
          <w:szCs w:val="18"/>
        </w:rPr>
        <w:t xml:space="preserve">the position of the underlying strategy and </w:t>
      </w:r>
      <w:r w:rsidR="00F16047" w:rsidRPr="00422A2F">
        <w:rPr>
          <w:rFonts w:ascii="Helvetica" w:hAnsi="Helvetica"/>
          <w:sz w:val="18"/>
          <w:szCs w:val="18"/>
        </w:rPr>
        <w:t xml:space="preserve">chosen to replace the strategy with one that </w:t>
      </w:r>
      <w:r>
        <w:rPr>
          <w:rFonts w:ascii="Helvetica" w:hAnsi="Helvetica"/>
          <w:sz w:val="18"/>
          <w:szCs w:val="18"/>
        </w:rPr>
        <w:t>it believes will reduce the level of future investment (concentration risk)</w:t>
      </w:r>
      <w:r w:rsidR="008125B6">
        <w:rPr>
          <w:rFonts w:ascii="Helvetica" w:hAnsi="Helvetica"/>
          <w:sz w:val="18"/>
          <w:szCs w:val="18"/>
        </w:rPr>
        <w:t xml:space="preserve">, while meeting </w:t>
      </w:r>
      <w:r>
        <w:rPr>
          <w:rFonts w:ascii="Helvetica" w:hAnsi="Helvetica"/>
          <w:sz w:val="18"/>
          <w:szCs w:val="18"/>
        </w:rPr>
        <w:t>its investment objectives.</w:t>
      </w:r>
    </w:p>
    <w:p w14:paraId="683CC280" w14:textId="5B3554B4" w:rsidR="00F16047" w:rsidRPr="00422A2F" w:rsidRDefault="00F16047" w:rsidP="00422A2F">
      <w:pPr>
        <w:ind w:right="-75"/>
        <w:rPr>
          <w:rFonts w:ascii="Helvetica" w:hAnsi="Helvetica"/>
          <w:sz w:val="18"/>
          <w:szCs w:val="18"/>
        </w:rPr>
      </w:pPr>
    </w:p>
    <w:p w14:paraId="2F1BBE7D" w14:textId="77777777" w:rsidR="00872C58" w:rsidRPr="00301E8A" w:rsidRDefault="00872C58">
      <w:pPr>
        <w:spacing w:after="0" w:line="240" w:lineRule="auto"/>
        <w:rPr>
          <w:rFonts w:ascii="Helvetica" w:hAnsi="Helvetica"/>
          <w:sz w:val="18"/>
          <w:szCs w:val="18"/>
        </w:rPr>
      </w:pPr>
      <w:r w:rsidRPr="00301E8A">
        <w:rPr>
          <w:rFonts w:ascii="Helvetica" w:hAnsi="Helvetica"/>
          <w:sz w:val="18"/>
          <w:szCs w:val="18"/>
        </w:rPr>
        <w:br w:type="page"/>
      </w:r>
    </w:p>
    <w:p w14:paraId="6A2C1FD5" w14:textId="5912918E" w:rsidR="00B538D1" w:rsidRPr="00793596" w:rsidRDefault="00E27E5D" w:rsidP="00E27E5D">
      <w:pPr>
        <w:ind w:right="-75"/>
        <w:rPr>
          <w:rFonts w:ascii="Helvetica" w:hAnsi="Helvetica"/>
          <w:b/>
          <w:bCs/>
          <w:color w:val="2B41B1"/>
          <w:sz w:val="18"/>
          <w:szCs w:val="18"/>
        </w:rPr>
      </w:pPr>
      <w:r w:rsidRPr="00793596">
        <w:rPr>
          <w:rFonts w:ascii="Helvetica" w:hAnsi="Helvetica"/>
          <w:b/>
          <w:bCs/>
          <w:color w:val="2B41B1"/>
          <w:sz w:val="18"/>
          <w:szCs w:val="18"/>
        </w:rPr>
        <w:lastRenderedPageBreak/>
        <w:t>COMPARISON OF STRATEGIES</w:t>
      </w:r>
    </w:p>
    <w:tbl>
      <w:tblPr>
        <w:tblStyle w:val="TableGrid"/>
        <w:tblW w:w="10206" w:type="dxa"/>
        <w:tblBorders>
          <w:top w:val="none" w:sz="0" w:space="0" w:color="auto"/>
          <w:left w:val="none" w:sz="0" w:space="0" w:color="auto"/>
          <w:bottom w:val="none" w:sz="0" w:space="0" w:color="auto"/>
          <w:right w:val="none" w:sz="0" w:space="0" w:color="auto"/>
          <w:insideH w:val="single" w:sz="2" w:space="0" w:color="A3A3A3"/>
          <w:insideV w:val="none" w:sz="0" w:space="0" w:color="auto"/>
        </w:tblBorders>
        <w:tblCellMar>
          <w:top w:w="85" w:type="dxa"/>
          <w:left w:w="0" w:type="dxa"/>
          <w:bottom w:w="85" w:type="dxa"/>
        </w:tblCellMar>
        <w:tblLook w:val="04A0" w:firstRow="1" w:lastRow="0" w:firstColumn="1" w:lastColumn="0" w:noHBand="0" w:noVBand="1"/>
      </w:tblPr>
      <w:tblGrid>
        <w:gridCol w:w="2410"/>
        <w:gridCol w:w="3898"/>
        <w:gridCol w:w="3898"/>
      </w:tblGrid>
      <w:tr w:rsidR="00301E8A" w:rsidRPr="00301E8A" w14:paraId="3D437B3A" w14:textId="77777777" w:rsidTr="002E5240">
        <w:trPr>
          <w:cantSplit/>
          <w:trHeight w:val="308"/>
          <w:tblHeader/>
        </w:trPr>
        <w:tc>
          <w:tcPr>
            <w:tcW w:w="2410" w:type="dxa"/>
          </w:tcPr>
          <w:p w14:paraId="317DF2DF" w14:textId="0E75116D" w:rsidR="001E42FE" w:rsidRPr="00301E8A" w:rsidRDefault="001E42FE" w:rsidP="009479DE">
            <w:pPr>
              <w:pStyle w:val="TableHeading"/>
              <w:spacing w:line="240" w:lineRule="auto"/>
              <w:rPr>
                <w:rFonts w:ascii="Helvetica" w:hAnsi="Helvetica"/>
                <w:b/>
                <w:bCs/>
                <w:color w:val="auto"/>
                <w:sz w:val="18"/>
                <w:szCs w:val="18"/>
              </w:rPr>
            </w:pPr>
          </w:p>
        </w:tc>
        <w:tc>
          <w:tcPr>
            <w:tcW w:w="3898" w:type="dxa"/>
            <w:shd w:val="clear" w:color="auto" w:fill="auto"/>
          </w:tcPr>
          <w:p w14:paraId="47DB3226" w14:textId="2B23E00C" w:rsidR="001E42FE" w:rsidRPr="00301E8A" w:rsidRDefault="00203D67" w:rsidP="009479DE">
            <w:pPr>
              <w:pStyle w:val="Table"/>
              <w:spacing w:line="240" w:lineRule="auto"/>
              <w:rPr>
                <w:rFonts w:ascii="Helvetica" w:hAnsi="Helvetica" w:cs="Arial"/>
                <w:b/>
                <w:bCs/>
                <w:color w:val="auto"/>
                <w:sz w:val="18"/>
                <w:szCs w:val="18"/>
              </w:rPr>
            </w:pPr>
            <w:r>
              <w:rPr>
                <w:rFonts w:ascii="Helvetica" w:hAnsi="Helvetica" w:cs="Arial"/>
                <w:b/>
                <w:bCs/>
                <w:color w:val="auto"/>
                <w:sz w:val="18"/>
                <w:szCs w:val="18"/>
              </w:rPr>
              <w:t>Pendal Enhanced Credit Fund</w:t>
            </w:r>
            <w:r w:rsidR="003D1DDC" w:rsidRPr="00301E8A" w:rsidDel="003D1DDC">
              <w:rPr>
                <w:rFonts w:ascii="Helvetica" w:hAnsi="Helvetica" w:cs="Arial"/>
                <w:b/>
                <w:bCs/>
                <w:color w:val="auto"/>
                <w:sz w:val="18"/>
                <w:szCs w:val="18"/>
              </w:rPr>
              <w:t xml:space="preserve"> </w:t>
            </w:r>
            <w:r w:rsidR="001E42FE" w:rsidRPr="00301E8A">
              <w:rPr>
                <w:rFonts w:ascii="Helvetica" w:hAnsi="Helvetica" w:cs="Arial"/>
                <w:b/>
                <w:bCs/>
                <w:color w:val="auto"/>
                <w:sz w:val="18"/>
                <w:szCs w:val="18"/>
              </w:rPr>
              <w:t>(</w:t>
            </w:r>
            <w:r w:rsidR="003D1DDC" w:rsidRPr="00301E8A">
              <w:rPr>
                <w:rFonts w:ascii="Helvetica" w:hAnsi="Helvetica" w:cs="Arial"/>
                <w:b/>
                <w:bCs/>
                <w:color w:val="auto"/>
                <w:sz w:val="18"/>
                <w:szCs w:val="18"/>
              </w:rPr>
              <w:t>OLD</w:t>
            </w:r>
            <w:r w:rsidR="001E42FE" w:rsidRPr="00301E8A">
              <w:rPr>
                <w:rFonts w:ascii="Helvetica" w:hAnsi="Helvetica" w:cs="Arial"/>
                <w:b/>
                <w:bCs/>
                <w:color w:val="auto"/>
                <w:sz w:val="18"/>
                <w:szCs w:val="18"/>
              </w:rPr>
              <w:t>)</w:t>
            </w:r>
          </w:p>
        </w:tc>
        <w:tc>
          <w:tcPr>
            <w:tcW w:w="3898" w:type="dxa"/>
            <w:shd w:val="clear" w:color="auto" w:fill="auto"/>
          </w:tcPr>
          <w:p w14:paraId="3F1FAD2D" w14:textId="1A56E83B" w:rsidR="001E42FE" w:rsidRPr="00301E8A" w:rsidRDefault="00203D67" w:rsidP="009479DE">
            <w:pPr>
              <w:pStyle w:val="Table"/>
              <w:spacing w:line="240" w:lineRule="auto"/>
              <w:rPr>
                <w:rFonts w:ascii="Helvetica" w:hAnsi="Helvetica" w:cs="Arial"/>
                <w:b/>
                <w:bCs/>
                <w:color w:val="auto"/>
                <w:sz w:val="18"/>
                <w:szCs w:val="18"/>
              </w:rPr>
            </w:pPr>
            <w:r>
              <w:rPr>
                <w:rFonts w:ascii="Helvetica" w:hAnsi="Helvetica" w:cs="Arial"/>
                <w:b/>
                <w:bCs/>
                <w:color w:val="auto"/>
                <w:sz w:val="18"/>
                <w:szCs w:val="18"/>
              </w:rPr>
              <w:t>Yarra Enhanced Income Fund</w:t>
            </w:r>
            <w:r w:rsidR="00EA485E" w:rsidRPr="00301E8A" w:rsidDel="00EA485E">
              <w:rPr>
                <w:rFonts w:ascii="Helvetica" w:hAnsi="Helvetica" w:cs="Arial"/>
                <w:b/>
                <w:bCs/>
                <w:color w:val="auto"/>
                <w:sz w:val="18"/>
                <w:szCs w:val="18"/>
              </w:rPr>
              <w:t xml:space="preserve"> </w:t>
            </w:r>
            <w:r w:rsidR="001E42FE" w:rsidRPr="00301E8A">
              <w:rPr>
                <w:rFonts w:ascii="Helvetica" w:hAnsi="Helvetica" w:cs="Arial"/>
                <w:b/>
                <w:bCs/>
                <w:color w:val="auto"/>
                <w:sz w:val="18"/>
                <w:szCs w:val="18"/>
              </w:rPr>
              <w:t>(NEW)</w:t>
            </w:r>
          </w:p>
        </w:tc>
      </w:tr>
      <w:tr w:rsidR="003A00AF" w:rsidRPr="00793596" w14:paraId="10AD6584" w14:textId="77777777" w:rsidTr="002E5240">
        <w:trPr>
          <w:cantSplit/>
          <w:trHeight w:val="308"/>
        </w:trPr>
        <w:tc>
          <w:tcPr>
            <w:tcW w:w="2410" w:type="dxa"/>
          </w:tcPr>
          <w:p w14:paraId="13430C18" w14:textId="54935463" w:rsidR="003A00AF" w:rsidRPr="00301E8A" w:rsidRDefault="003A00AF" w:rsidP="009479DE">
            <w:pPr>
              <w:pStyle w:val="Table"/>
              <w:spacing w:line="240" w:lineRule="auto"/>
              <w:rPr>
                <w:rFonts w:ascii="Helvetica" w:hAnsi="Helvetica" w:cs="Arial"/>
                <w:b/>
                <w:bCs/>
                <w:color w:val="auto"/>
                <w:sz w:val="18"/>
                <w:szCs w:val="18"/>
              </w:rPr>
            </w:pPr>
            <w:r w:rsidRPr="00301E8A">
              <w:rPr>
                <w:rFonts w:ascii="Helvetica" w:hAnsi="Helvetica" w:cs="Arial"/>
                <w:b/>
                <w:bCs/>
                <w:color w:val="auto"/>
                <w:sz w:val="18"/>
                <w:szCs w:val="18"/>
              </w:rPr>
              <w:t>Underlying strategy APIR code</w:t>
            </w:r>
          </w:p>
        </w:tc>
        <w:tc>
          <w:tcPr>
            <w:tcW w:w="3898" w:type="dxa"/>
            <w:shd w:val="clear" w:color="auto" w:fill="auto"/>
          </w:tcPr>
          <w:p w14:paraId="0E33B396" w14:textId="1317D7EF" w:rsidR="003A00AF" w:rsidRPr="00203D67" w:rsidRDefault="00203D67" w:rsidP="009479DE">
            <w:pPr>
              <w:pStyle w:val="TableHeading2"/>
              <w:spacing w:line="240" w:lineRule="auto"/>
              <w:rPr>
                <w:rFonts w:ascii="Helvetica" w:hAnsi="Helvetica" w:cs="Arial"/>
                <w:sz w:val="18"/>
                <w:szCs w:val="18"/>
              </w:rPr>
            </w:pPr>
            <w:r w:rsidRPr="00203D67">
              <w:rPr>
                <w:rFonts w:ascii="Helvetica" w:eastAsia="Times New Roman" w:hAnsi="Helvetica" w:cs="Helvetica"/>
                <w:color w:val="4C4D4F"/>
                <w:sz w:val="18"/>
                <w:szCs w:val="18"/>
              </w:rPr>
              <w:t>RFA0100AU</w:t>
            </w:r>
          </w:p>
        </w:tc>
        <w:tc>
          <w:tcPr>
            <w:tcW w:w="3898" w:type="dxa"/>
            <w:shd w:val="clear" w:color="auto" w:fill="auto"/>
          </w:tcPr>
          <w:p w14:paraId="707D442D" w14:textId="14C39DA8" w:rsidR="003A00AF" w:rsidRPr="00203D67" w:rsidRDefault="00203D67" w:rsidP="009479DE">
            <w:pPr>
              <w:pStyle w:val="TableHeading2"/>
              <w:spacing w:line="240" w:lineRule="auto"/>
              <w:rPr>
                <w:rFonts w:ascii="Helvetica" w:hAnsi="Helvetica" w:cs="Arial"/>
                <w:sz w:val="18"/>
                <w:szCs w:val="18"/>
              </w:rPr>
            </w:pPr>
            <w:r w:rsidRPr="00734192">
              <w:rPr>
                <w:rFonts w:ascii="Helvetica" w:hAnsi="Helvetica" w:cs="Arial"/>
                <w:sz w:val="18"/>
                <w:szCs w:val="18"/>
              </w:rPr>
              <w:t>JBW0018AU</w:t>
            </w:r>
          </w:p>
        </w:tc>
      </w:tr>
      <w:tr w:rsidR="001E42FE" w:rsidRPr="00793596" w14:paraId="7D1EC254" w14:textId="77777777" w:rsidTr="002E5240">
        <w:trPr>
          <w:cantSplit/>
          <w:trHeight w:val="308"/>
        </w:trPr>
        <w:tc>
          <w:tcPr>
            <w:tcW w:w="2410" w:type="dxa"/>
          </w:tcPr>
          <w:p w14:paraId="60DB3EC7" w14:textId="6EAE048B" w:rsidR="001E42FE" w:rsidRPr="00301E8A" w:rsidRDefault="001E42FE" w:rsidP="009479DE">
            <w:pPr>
              <w:pStyle w:val="Table"/>
              <w:spacing w:line="240" w:lineRule="auto"/>
              <w:rPr>
                <w:rFonts w:ascii="Helvetica" w:hAnsi="Helvetica" w:cs="Arial"/>
                <w:b/>
                <w:bCs/>
                <w:color w:val="auto"/>
                <w:sz w:val="18"/>
                <w:szCs w:val="18"/>
              </w:rPr>
            </w:pPr>
            <w:r w:rsidRPr="00301E8A">
              <w:rPr>
                <w:rFonts w:ascii="Helvetica" w:hAnsi="Helvetica" w:cs="Arial"/>
                <w:b/>
                <w:bCs/>
                <w:color w:val="auto"/>
                <w:sz w:val="18"/>
                <w:szCs w:val="18"/>
              </w:rPr>
              <w:t>Sector</w:t>
            </w:r>
          </w:p>
        </w:tc>
        <w:tc>
          <w:tcPr>
            <w:tcW w:w="3898" w:type="dxa"/>
            <w:shd w:val="clear" w:color="auto" w:fill="auto"/>
          </w:tcPr>
          <w:p w14:paraId="560448E9" w14:textId="2F83E17E" w:rsidR="001E42FE" w:rsidRPr="00591645" w:rsidRDefault="006E08A5" w:rsidP="009479DE">
            <w:pPr>
              <w:pStyle w:val="TableHeading2"/>
              <w:spacing w:line="240" w:lineRule="auto"/>
              <w:rPr>
                <w:rFonts w:ascii="Helvetica" w:hAnsi="Helvetica"/>
                <w:sz w:val="18"/>
                <w:szCs w:val="18"/>
              </w:rPr>
            </w:pPr>
            <w:r>
              <w:rPr>
                <w:rFonts w:ascii="Helvetica" w:hAnsi="Helvetica" w:cs="Arial"/>
                <w:sz w:val="18"/>
                <w:szCs w:val="18"/>
              </w:rPr>
              <w:t>Fixed interest - diversified</w:t>
            </w:r>
          </w:p>
        </w:tc>
        <w:tc>
          <w:tcPr>
            <w:tcW w:w="3898" w:type="dxa"/>
            <w:shd w:val="clear" w:color="auto" w:fill="auto"/>
          </w:tcPr>
          <w:p w14:paraId="7D6DECB4" w14:textId="27FF71C2" w:rsidR="001E42FE" w:rsidRPr="00591645" w:rsidRDefault="006E08A5" w:rsidP="009479DE">
            <w:pPr>
              <w:pStyle w:val="TableHeading2"/>
              <w:spacing w:line="240" w:lineRule="auto"/>
              <w:rPr>
                <w:rFonts w:ascii="Helvetica" w:hAnsi="Helvetica"/>
                <w:sz w:val="18"/>
                <w:szCs w:val="18"/>
              </w:rPr>
            </w:pPr>
            <w:r>
              <w:rPr>
                <w:rFonts w:ascii="Helvetica" w:hAnsi="Helvetica"/>
                <w:sz w:val="18"/>
                <w:szCs w:val="18"/>
              </w:rPr>
              <w:t xml:space="preserve">Fixed interest - </w:t>
            </w:r>
            <w:r w:rsidR="00327675">
              <w:rPr>
                <w:rFonts w:ascii="Helvetica" w:hAnsi="Helvetica"/>
                <w:sz w:val="18"/>
                <w:szCs w:val="18"/>
              </w:rPr>
              <w:t>diversified</w:t>
            </w:r>
          </w:p>
        </w:tc>
      </w:tr>
      <w:tr w:rsidR="001E42FE" w:rsidRPr="00793596" w14:paraId="38D8769D" w14:textId="77777777" w:rsidTr="002E5240">
        <w:trPr>
          <w:cantSplit/>
          <w:trHeight w:val="308"/>
        </w:trPr>
        <w:tc>
          <w:tcPr>
            <w:tcW w:w="2410" w:type="dxa"/>
          </w:tcPr>
          <w:p w14:paraId="201203FB" w14:textId="54377289" w:rsidR="001E42FE" w:rsidRPr="00301E8A" w:rsidRDefault="001E42FE" w:rsidP="009479DE">
            <w:pPr>
              <w:pStyle w:val="Table"/>
              <w:spacing w:line="240" w:lineRule="auto"/>
              <w:rPr>
                <w:rFonts w:ascii="Helvetica" w:hAnsi="Helvetica" w:cs="Arial"/>
                <w:b/>
                <w:bCs/>
                <w:color w:val="auto"/>
                <w:sz w:val="18"/>
                <w:szCs w:val="18"/>
              </w:rPr>
            </w:pPr>
            <w:r w:rsidRPr="00301E8A">
              <w:rPr>
                <w:rFonts w:ascii="Helvetica" w:hAnsi="Helvetica" w:cs="Arial"/>
                <w:b/>
                <w:bCs/>
                <w:color w:val="auto"/>
                <w:sz w:val="18"/>
                <w:szCs w:val="18"/>
              </w:rPr>
              <w:t>Investment manager</w:t>
            </w:r>
          </w:p>
        </w:tc>
        <w:tc>
          <w:tcPr>
            <w:tcW w:w="3898" w:type="dxa"/>
            <w:shd w:val="clear" w:color="auto" w:fill="auto"/>
          </w:tcPr>
          <w:p w14:paraId="6E2F8A93" w14:textId="7F6ED597" w:rsidR="001E42FE" w:rsidRPr="00591645" w:rsidRDefault="006E08A5" w:rsidP="009479DE">
            <w:pPr>
              <w:pStyle w:val="TableHeading2"/>
              <w:spacing w:line="240" w:lineRule="auto"/>
              <w:rPr>
                <w:rFonts w:ascii="Helvetica" w:hAnsi="Helvetica"/>
                <w:sz w:val="18"/>
                <w:szCs w:val="18"/>
              </w:rPr>
            </w:pPr>
            <w:r>
              <w:rPr>
                <w:rFonts w:ascii="Helvetica" w:hAnsi="Helvetica" w:cs="Arial"/>
                <w:sz w:val="18"/>
                <w:szCs w:val="18"/>
              </w:rPr>
              <w:t>Pendal Institutional Limited</w:t>
            </w:r>
          </w:p>
        </w:tc>
        <w:tc>
          <w:tcPr>
            <w:tcW w:w="3898" w:type="dxa"/>
            <w:shd w:val="clear" w:color="auto" w:fill="auto"/>
          </w:tcPr>
          <w:p w14:paraId="30E413CD" w14:textId="5A04FB17" w:rsidR="001E42FE" w:rsidRPr="00591645" w:rsidRDefault="006E08A5" w:rsidP="009479DE">
            <w:pPr>
              <w:pStyle w:val="TableHeading2"/>
              <w:spacing w:line="240" w:lineRule="auto"/>
              <w:rPr>
                <w:rFonts w:ascii="Helvetica" w:hAnsi="Helvetica"/>
                <w:sz w:val="18"/>
                <w:szCs w:val="18"/>
              </w:rPr>
            </w:pPr>
            <w:r>
              <w:rPr>
                <w:rFonts w:ascii="Helvetica" w:eastAsia="Times New Roman" w:hAnsi="Helvetica" w:cs="Helvetica"/>
                <w:color w:val="4C4D4F"/>
                <w:sz w:val="18"/>
                <w:szCs w:val="18"/>
              </w:rPr>
              <w:t>Yarra Capital Management</w:t>
            </w:r>
          </w:p>
        </w:tc>
      </w:tr>
      <w:tr w:rsidR="001E42FE" w:rsidRPr="00793596" w14:paraId="05403FBB" w14:textId="77777777" w:rsidTr="002E5240">
        <w:trPr>
          <w:cantSplit/>
          <w:trHeight w:val="308"/>
        </w:trPr>
        <w:tc>
          <w:tcPr>
            <w:tcW w:w="2410" w:type="dxa"/>
          </w:tcPr>
          <w:p w14:paraId="634B4863" w14:textId="0A736DC8" w:rsidR="001E42FE" w:rsidRPr="00301E8A" w:rsidRDefault="001E42FE" w:rsidP="009479DE">
            <w:pPr>
              <w:pStyle w:val="Table"/>
              <w:spacing w:line="240" w:lineRule="auto"/>
              <w:rPr>
                <w:rFonts w:ascii="Helvetica" w:hAnsi="Helvetica" w:cs="Arial"/>
                <w:b/>
                <w:bCs/>
                <w:color w:val="auto"/>
                <w:sz w:val="18"/>
                <w:szCs w:val="18"/>
              </w:rPr>
            </w:pPr>
            <w:r w:rsidRPr="00301E8A">
              <w:rPr>
                <w:rFonts w:ascii="Helvetica" w:hAnsi="Helvetica" w:cs="Arial"/>
                <w:b/>
                <w:bCs/>
                <w:color w:val="auto"/>
                <w:sz w:val="18"/>
                <w:szCs w:val="18"/>
              </w:rPr>
              <w:t>Objective</w:t>
            </w:r>
          </w:p>
        </w:tc>
        <w:tc>
          <w:tcPr>
            <w:tcW w:w="3898" w:type="dxa"/>
            <w:shd w:val="clear" w:color="auto" w:fill="auto"/>
          </w:tcPr>
          <w:p w14:paraId="5A24F89F" w14:textId="0DBBD654" w:rsidR="001E42FE" w:rsidRPr="00591645" w:rsidRDefault="006E08A5" w:rsidP="009479DE">
            <w:pPr>
              <w:pStyle w:val="TableHeading2"/>
              <w:spacing w:line="240" w:lineRule="auto"/>
              <w:rPr>
                <w:rFonts w:ascii="Helvetica" w:hAnsi="Helvetica"/>
                <w:sz w:val="18"/>
                <w:szCs w:val="18"/>
              </w:rPr>
            </w:pPr>
            <w:r>
              <w:rPr>
                <w:rFonts w:ascii="Helvetica" w:hAnsi="Helvetica" w:cs="Arial"/>
                <w:sz w:val="18"/>
                <w:szCs w:val="18"/>
              </w:rPr>
              <w:t xml:space="preserve">Aims to provide a return (before fees, </w:t>
            </w:r>
            <w:proofErr w:type="gramStart"/>
            <w:r>
              <w:rPr>
                <w:rFonts w:ascii="Helvetica" w:hAnsi="Helvetica" w:cs="Arial"/>
                <w:sz w:val="18"/>
                <w:szCs w:val="18"/>
              </w:rPr>
              <w:t>costs</w:t>
            </w:r>
            <w:proofErr w:type="gramEnd"/>
            <w:r>
              <w:rPr>
                <w:rFonts w:ascii="Helvetica" w:hAnsi="Helvetica" w:cs="Arial"/>
                <w:sz w:val="18"/>
                <w:szCs w:val="18"/>
              </w:rPr>
              <w:t xml:space="preserve"> and tax) that exceeds the Bloomberg </w:t>
            </w:r>
            <w:proofErr w:type="spellStart"/>
            <w:r>
              <w:rPr>
                <w:rFonts w:ascii="Helvetica" w:hAnsi="Helvetica" w:cs="Arial"/>
                <w:sz w:val="18"/>
                <w:szCs w:val="18"/>
              </w:rPr>
              <w:t>AusBond</w:t>
            </w:r>
            <w:proofErr w:type="spellEnd"/>
            <w:r>
              <w:rPr>
                <w:rFonts w:ascii="Helvetica" w:hAnsi="Helvetica" w:cs="Arial"/>
                <w:sz w:val="18"/>
                <w:szCs w:val="18"/>
              </w:rPr>
              <w:t xml:space="preserve"> Non Govt 0+ Year Index over the medium term.</w:t>
            </w:r>
          </w:p>
        </w:tc>
        <w:tc>
          <w:tcPr>
            <w:tcW w:w="3898" w:type="dxa"/>
            <w:shd w:val="clear" w:color="auto" w:fill="auto"/>
          </w:tcPr>
          <w:p w14:paraId="5762D2DD" w14:textId="1212AED2" w:rsidR="001E42FE" w:rsidRPr="00591645" w:rsidRDefault="006E08A5" w:rsidP="009479DE">
            <w:pPr>
              <w:pStyle w:val="TableHeading2"/>
              <w:spacing w:line="240" w:lineRule="auto"/>
              <w:rPr>
                <w:rFonts w:ascii="Helvetica" w:hAnsi="Helvetica" w:cs="Helvetica"/>
                <w:sz w:val="18"/>
                <w:szCs w:val="18"/>
              </w:rPr>
            </w:pPr>
            <w:r w:rsidRPr="006E08A5">
              <w:rPr>
                <w:rFonts w:ascii="Helvetica" w:eastAsia="Times New Roman" w:hAnsi="Helvetica" w:cs="Helvetica"/>
                <w:color w:val="4C4D4F"/>
                <w:sz w:val="18"/>
                <w:szCs w:val="18"/>
              </w:rPr>
              <w:t xml:space="preserve">Aims to earn higher returns than traditional cash management and fixed income investments (over the medium-to-long-term) through exposure to a diversified portfolio of hybrid (debt/equity) and fixed income securities. The fund is expected to produce </w:t>
            </w:r>
            <w:proofErr w:type="gramStart"/>
            <w:r w:rsidRPr="006E08A5">
              <w:rPr>
                <w:rFonts w:ascii="Helvetica" w:eastAsia="Times New Roman" w:hAnsi="Helvetica" w:cs="Helvetica"/>
                <w:color w:val="4C4D4F"/>
                <w:sz w:val="18"/>
                <w:szCs w:val="18"/>
              </w:rPr>
              <w:t>less</w:t>
            </w:r>
            <w:proofErr w:type="gramEnd"/>
            <w:r w:rsidRPr="006E08A5">
              <w:rPr>
                <w:rFonts w:ascii="Helvetica" w:eastAsia="Times New Roman" w:hAnsi="Helvetica" w:cs="Helvetica"/>
                <w:color w:val="4C4D4F"/>
                <w:sz w:val="18"/>
                <w:szCs w:val="18"/>
              </w:rPr>
              <w:t xml:space="preserve"> volatile returns that are inherent in equity markets, while offering modest capital growth and some franking credits.</w:t>
            </w:r>
          </w:p>
        </w:tc>
      </w:tr>
      <w:tr w:rsidR="001E42FE" w:rsidRPr="00793596" w14:paraId="444A3F04" w14:textId="77777777" w:rsidTr="002E5240">
        <w:trPr>
          <w:cantSplit/>
          <w:trHeight w:val="308"/>
        </w:trPr>
        <w:tc>
          <w:tcPr>
            <w:tcW w:w="2410" w:type="dxa"/>
          </w:tcPr>
          <w:p w14:paraId="0CD99B70" w14:textId="10C91D48" w:rsidR="001E42FE" w:rsidRPr="00301E8A" w:rsidRDefault="001E42FE" w:rsidP="009479DE">
            <w:pPr>
              <w:pStyle w:val="Table"/>
              <w:spacing w:line="240" w:lineRule="auto"/>
              <w:rPr>
                <w:rFonts w:ascii="Helvetica" w:hAnsi="Helvetica" w:cs="Arial"/>
                <w:b/>
                <w:bCs/>
                <w:color w:val="auto"/>
                <w:sz w:val="18"/>
                <w:szCs w:val="18"/>
              </w:rPr>
            </w:pPr>
            <w:r w:rsidRPr="00301E8A">
              <w:rPr>
                <w:rFonts w:ascii="Helvetica" w:hAnsi="Helvetica" w:cs="Arial"/>
                <w:b/>
                <w:bCs/>
                <w:color w:val="auto"/>
                <w:sz w:val="18"/>
                <w:szCs w:val="18"/>
              </w:rPr>
              <w:t>Investment approach</w:t>
            </w:r>
          </w:p>
        </w:tc>
        <w:tc>
          <w:tcPr>
            <w:tcW w:w="3898" w:type="dxa"/>
            <w:shd w:val="clear" w:color="auto" w:fill="auto"/>
          </w:tcPr>
          <w:p w14:paraId="132CDB80" w14:textId="3B2D13A4" w:rsidR="001E42FE" w:rsidRPr="00591645" w:rsidRDefault="006E08A5" w:rsidP="009479DE">
            <w:pPr>
              <w:pStyle w:val="TableHeading2"/>
              <w:spacing w:line="240" w:lineRule="auto"/>
              <w:rPr>
                <w:rFonts w:ascii="Helvetica" w:hAnsi="Helvetica"/>
                <w:sz w:val="18"/>
                <w:szCs w:val="18"/>
              </w:rPr>
            </w:pPr>
            <w:r>
              <w:rPr>
                <w:rFonts w:ascii="Helvetica" w:hAnsi="Helvetica" w:cs="Arial"/>
                <w:sz w:val="18"/>
                <w:szCs w:val="18"/>
              </w:rPr>
              <w:t>The fund is designed for investors who want income, diversification across a broad range of companies and industries and are prepared to accept some variability of returns. The fund aims to take advantage of investment opportunities within the Australian non-Government fixed interest market and invests primarily in Australian dollar corporate bonds including investment grade securities issued by leading corporations listed on the Australian Securities Exchange. The fund may also invest in a limited amount of hybrid securities, non-investment grade securities and unrated securities. The fund may also hold cash and may use derivatives.</w:t>
            </w:r>
          </w:p>
        </w:tc>
        <w:tc>
          <w:tcPr>
            <w:tcW w:w="3898" w:type="dxa"/>
            <w:shd w:val="clear" w:color="auto" w:fill="auto"/>
          </w:tcPr>
          <w:p w14:paraId="3AED7FBD" w14:textId="551F4B3B" w:rsidR="001E42FE" w:rsidRPr="00591645" w:rsidRDefault="006E08A5" w:rsidP="006E08A5">
            <w:pPr>
              <w:pStyle w:val="TableHeading2"/>
              <w:spacing w:line="240" w:lineRule="auto"/>
              <w:rPr>
                <w:rFonts w:ascii="Helvetica" w:hAnsi="Helvetica" w:cs="Helvetica"/>
                <w:sz w:val="18"/>
                <w:szCs w:val="18"/>
              </w:rPr>
            </w:pPr>
            <w:r w:rsidRPr="006E08A5">
              <w:rPr>
                <w:rFonts w:ascii="Helvetica" w:eastAsia="Times New Roman" w:hAnsi="Helvetica" w:cs="Helvetica"/>
                <w:color w:val="4C4D4F"/>
                <w:sz w:val="18"/>
                <w:szCs w:val="18"/>
              </w:rPr>
              <w:t>The approach is research-driven, utilising the manager's comprehensive research process and taking into account the broad economic and market environment as well as specific investment details. The fund invests in a range of high yielding fixed income and hybrid securities. The assets which the fund will be exposed to include floating rate notes, convertible/converting securities, corporate bonds, government and semi-government securities, structured/subordinated debt, perpetual (non-call) step-up preference securities,</w:t>
            </w:r>
            <w:r w:rsidR="00175F5D">
              <w:rPr>
                <w:rFonts w:ascii="Helvetica" w:eastAsia="Times New Roman" w:hAnsi="Helvetica" w:cs="Helvetica"/>
                <w:color w:val="4C4D4F"/>
                <w:sz w:val="18"/>
                <w:szCs w:val="18"/>
              </w:rPr>
              <w:t xml:space="preserve"> </w:t>
            </w:r>
            <w:proofErr w:type="gramStart"/>
            <w:r w:rsidRPr="006E08A5">
              <w:rPr>
                <w:rFonts w:ascii="Helvetica" w:eastAsia="Times New Roman" w:hAnsi="Helvetica" w:cs="Helvetica"/>
                <w:color w:val="4C4D4F"/>
                <w:sz w:val="18"/>
                <w:szCs w:val="18"/>
              </w:rPr>
              <w:t>cash</w:t>
            </w:r>
            <w:proofErr w:type="gramEnd"/>
            <w:r w:rsidRPr="006E08A5">
              <w:rPr>
                <w:rFonts w:ascii="Helvetica" w:eastAsia="Times New Roman" w:hAnsi="Helvetica" w:cs="Helvetica"/>
                <w:color w:val="4C4D4F"/>
                <w:sz w:val="18"/>
                <w:szCs w:val="18"/>
              </w:rPr>
              <w:t xml:space="preserve"> and high yielding fixed income securities. The underlying assets are predominantly Australian and denominated in Australian dollars or foreign currencies. Derivatives may be used to manage investment risk and gain or reduce exposure to relevant markets in an efficient manner whilst </w:t>
            </w:r>
            <w:proofErr w:type="gramStart"/>
            <w:r w:rsidRPr="006E08A5">
              <w:rPr>
                <w:rFonts w:ascii="Helvetica" w:eastAsia="Times New Roman" w:hAnsi="Helvetica" w:cs="Helvetica"/>
                <w:color w:val="4C4D4F"/>
                <w:sz w:val="18"/>
                <w:szCs w:val="18"/>
              </w:rPr>
              <w:t>still remaining</w:t>
            </w:r>
            <w:proofErr w:type="gramEnd"/>
            <w:r w:rsidRPr="006E08A5">
              <w:rPr>
                <w:rFonts w:ascii="Helvetica" w:eastAsia="Times New Roman" w:hAnsi="Helvetica" w:cs="Helvetica"/>
                <w:color w:val="4C4D4F"/>
                <w:sz w:val="18"/>
                <w:szCs w:val="18"/>
              </w:rPr>
              <w:t xml:space="preserve"> within allowable asset allocation ranges.</w:t>
            </w:r>
          </w:p>
        </w:tc>
      </w:tr>
      <w:tr w:rsidR="003A00AF" w:rsidRPr="00793596" w14:paraId="68ED052A" w14:textId="77777777" w:rsidTr="002E5240">
        <w:trPr>
          <w:cantSplit/>
          <w:trHeight w:val="308"/>
        </w:trPr>
        <w:tc>
          <w:tcPr>
            <w:tcW w:w="2410" w:type="dxa"/>
          </w:tcPr>
          <w:p w14:paraId="0DD9A6B2" w14:textId="5B5E96B9" w:rsidR="003A00AF" w:rsidRPr="00301E8A" w:rsidRDefault="003A00AF" w:rsidP="009479DE">
            <w:pPr>
              <w:pStyle w:val="Table"/>
              <w:spacing w:line="240" w:lineRule="auto"/>
              <w:rPr>
                <w:rFonts w:ascii="Helvetica" w:hAnsi="Helvetica" w:cs="Arial"/>
                <w:b/>
                <w:bCs/>
                <w:color w:val="auto"/>
                <w:sz w:val="18"/>
                <w:szCs w:val="18"/>
              </w:rPr>
            </w:pPr>
            <w:r w:rsidRPr="00301E8A">
              <w:rPr>
                <w:rFonts w:ascii="Helvetica" w:hAnsi="Helvetica" w:cs="Arial"/>
                <w:b/>
                <w:bCs/>
                <w:color w:val="auto"/>
                <w:sz w:val="18"/>
                <w:szCs w:val="18"/>
              </w:rPr>
              <w:t>Investment style</w:t>
            </w:r>
          </w:p>
        </w:tc>
        <w:tc>
          <w:tcPr>
            <w:tcW w:w="3898" w:type="dxa"/>
            <w:shd w:val="clear" w:color="auto" w:fill="auto"/>
          </w:tcPr>
          <w:p w14:paraId="71DCB255" w14:textId="06F5045E" w:rsidR="003A00AF" w:rsidRPr="00591645" w:rsidRDefault="00F16047" w:rsidP="009479DE">
            <w:pPr>
              <w:pStyle w:val="TableHeading2"/>
              <w:spacing w:line="240" w:lineRule="auto"/>
              <w:rPr>
                <w:rFonts w:ascii="Helvetica" w:hAnsi="Helvetica" w:cs="Arial"/>
                <w:sz w:val="18"/>
                <w:szCs w:val="18"/>
              </w:rPr>
            </w:pPr>
            <w:r>
              <w:rPr>
                <w:rFonts w:ascii="Helvetica" w:hAnsi="Helvetica" w:cs="Arial"/>
                <w:sz w:val="18"/>
                <w:szCs w:val="18"/>
              </w:rPr>
              <w:t xml:space="preserve">Diversified – Australian credit </w:t>
            </w:r>
          </w:p>
        </w:tc>
        <w:tc>
          <w:tcPr>
            <w:tcW w:w="3898" w:type="dxa"/>
            <w:shd w:val="clear" w:color="auto" w:fill="auto"/>
          </w:tcPr>
          <w:p w14:paraId="3AB26582" w14:textId="44E74AD7" w:rsidR="003A00AF" w:rsidRPr="00591645" w:rsidRDefault="00F16047" w:rsidP="009479DE">
            <w:pPr>
              <w:pStyle w:val="TableHeading2"/>
              <w:spacing w:line="240" w:lineRule="auto"/>
              <w:rPr>
                <w:rFonts w:ascii="Helvetica" w:hAnsi="Helvetica" w:cs="Arial"/>
                <w:sz w:val="18"/>
                <w:szCs w:val="18"/>
              </w:rPr>
            </w:pPr>
            <w:r>
              <w:rPr>
                <w:rFonts w:ascii="Helvetica" w:hAnsi="Helvetica" w:cs="Arial"/>
                <w:sz w:val="18"/>
                <w:szCs w:val="18"/>
              </w:rPr>
              <w:t>Diversified – Australian credit</w:t>
            </w:r>
          </w:p>
        </w:tc>
      </w:tr>
      <w:tr w:rsidR="003A00AF" w:rsidRPr="00793596" w14:paraId="5704D0B9" w14:textId="77777777" w:rsidTr="002E5240">
        <w:trPr>
          <w:cantSplit/>
          <w:trHeight w:val="308"/>
        </w:trPr>
        <w:tc>
          <w:tcPr>
            <w:tcW w:w="2410" w:type="dxa"/>
          </w:tcPr>
          <w:p w14:paraId="3A5D0126" w14:textId="1A3D56ED" w:rsidR="003A00AF" w:rsidRPr="00301E8A" w:rsidRDefault="003A00AF" w:rsidP="009479DE">
            <w:pPr>
              <w:pStyle w:val="Table"/>
              <w:spacing w:line="240" w:lineRule="auto"/>
              <w:rPr>
                <w:rFonts w:ascii="Helvetica" w:hAnsi="Helvetica" w:cs="Arial"/>
                <w:b/>
                <w:bCs/>
                <w:color w:val="auto"/>
                <w:sz w:val="18"/>
                <w:szCs w:val="18"/>
              </w:rPr>
            </w:pPr>
            <w:r w:rsidRPr="00301E8A">
              <w:rPr>
                <w:rFonts w:ascii="Helvetica" w:hAnsi="Helvetica" w:cs="Arial"/>
                <w:b/>
                <w:bCs/>
                <w:color w:val="auto"/>
                <w:sz w:val="18"/>
                <w:szCs w:val="18"/>
              </w:rPr>
              <w:t>Investment guidelines</w:t>
            </w:r>
          </w:p>
        </w:tc>
        <w:tc>
          <w:tcPr>
            <w:tcW w:w="3898" w:type="dxa"/>
            <w:shd w:val="clear" w:color="auto" w:fill="auto"/>
          </w:tcPr>
          <w:p w14:paraId="0B075188" w14:textId="3AB09ACE" w:rsidR="003A00AF" w:rsidRDefault="00C95ACF" w:rsidP="009479DE">
            <w:pPr>
              <w:pStyle w:val="TableHeading2"/>
              <w:spacing w:line="240" w:lineRule="auto"/>
              <w:rPr>
                <w:rFonts w:ascii="Helvetica" w:hAnsi="Helvetica" w:cs="Arial"/>
                <w:sz w:val="18"/>
                <w:szCs w:val="18"/>
              </w:rPr>
            </w:pPr>
            <w:r>
              <w:rPr>
                <w:rFonts w:ascii="Helvetica" w:hAnsi="Helvetica" w:cs="Arial"/>
                <w:sz w:val="18"/>
                <w:szCs w:val="18"/>
              </w:rPr>
              <w:t>Investment grade corporate bonds 70-100%</w:t>
            </w:r>
          </w:p>
          <w:p w14:paraId="25AFAC42" w14:textId="77777777" w:rsidR="00C95ACF" w:rsidRDefault="00C95ACF" w:rsidP="009479DE">
            <w:pPr>
              <w:pStyle w:val="TableHeading2"/>
              <w:spacing w:line="240" w:lineRule="auto"/>
              <w:rPr>
                <w:rFonts w:ascii="Helvetica" w:hAnsi="Helvetica" w:cs="Arial"/>
                <w:sz w:val="18"/>
                <w:szCs w:val="18"/>
              </w:rPr>
            </w:pPr>
            <w:r>
              <w:rPr>
                <w:rFonts w:ascii="Helvetica" w:hAnsi="Helvetica" w:cs="Arial"/>
                <w:sz w:val="18"/>
                <w:szCs w:val="18"/>
              </w:rPr>
              <w:t>Commonwealth bonds and semi-government bonds 0-20%</w:t>
            </w:r>
          </w:p>
          <w:p w14:paraId="069D44F2" w14:textId="77777777" w:rsidR="00C95ACF" w:rsidRDefault="00C95ACF" w:rsidP="009479DE">
            <w:pPr>
              <w:pStyle w:val="TableHeading2"/>
              <w:spacing w:line="240" w:lineRule="auto"/>
              <w:rPr>
                <w:rFonts w:ascii="Helvetica" w:hAnsi="Helvetica" w:cs="Arial"/>
                <w:sz w:val="18"/>
                <w:szCs w:val="18"/>
              </w:rPr>
            </w:pPr>
            <w:r>
              <w:rPr>
                <w:rFonts w:ascii="Helvetica" w:hAnsi="Helvetica" w:cs="Arial"/>
                <w:sz w:val="18"/>
                <w:szCs w:val="18"/>
              </w:rPr>
              <w:t>Convertible notes 0-10%</w:t>
            </w:r>
          </w:p>
          <w:p w14:paraId="23957401" w14:textId="77777777" w:rsidR="00C95ACF" w:rsidRDefault="00C95ACF" w:rsidP="009479DE">
            <w:pPr>
              <w:pStyle w:val="TableHeading2"/>
              <w:spacing w:line="240" w:lineRule="auto"/>
              <w:rPr>
                <w:rFonts w:ascii="Helvetica" w:hAnsi="Helvetica" w:cs="Arial"/>
                <w:sz w:val="18"/>
                <w:szCs w:val="18"/>
              </w:rPr>
            </w:pPr>
            <w:r>
              <w:rPr>
                <w:rFonts w:ascii="Helvetica" w:hAnsi="Helvetica" w:cs="Arial"/>
                <w:sz w:val="18"/>
                <w:szCs w:val="18"/>
              </w:rPr>
              <w:t>Convertible preference shares 0-10%</w:t>
            </w:r>
          </w:p>
          <w:p w14:paraId="1D01EBDE" w14:textId="63DAA6C1" w:rsidR="00C95ACF" w:rsidRPr="00591645" w:rsidRDefault="00C95ACF" w:rsidP="009479DE">
            <w:pPr>
              <w:pStyle w:val="TableHeading2"/>
              <w:spacing w:line="240" w:lineRule="auto"/>
              <w:rPr>
                <w:rFonts w:ascii="Helvetica" w:hAnsi="Helvetica" w:cs="Arial"/>
                <w:sz w:val="18"/>
                <w:szCs w:val="18"/>
              </w:rPr>
            </w:pPr>
            <w:r>
              <w:rPr>
                <w:rFonts w:ascii="Helvetica" w:hAnsi="Helvetica" w:cs="Arial"/>
                <w:sz w:val="18"/>
                <w:szCs w:val="18"/>
              </w:rPr>
              <w:t>Capital notes 0-10%</w:t>
            </w:r>
          </w:p>
        </w:tc>
        <w:tc>
          <w:tcPr>
            <w:tcW w:w="3898" w:type="dxa"/>
            <w:shd w:val="clear" w:color="auto" w:fill="auto"/>
          </w:tcPr>
          <w:p w14:paraId="6DC26E0D" w14:textId="5004AAF0" w:rsidR="003A00AF" w:rsidRPr="00591645" w:rsidRDefault="00C95ACF" w:rsidP="00EA485E">
            <w:pPr>
              <w:pStyle w:val="TableHeading2"/>
              <w:spacing w:line="240" w:lineRule="auto"/>
              <w:rPr>
                <w:rFonts w:ascii="Helvetica" w:hAnsi="Helvetica" w:cs="Arial"/>
                <w:sz w:val="18"/>
                <w:szCs w:val="18"/>
              </w:rPr>
            </w:pPr>
            <w:r>
              <w:rPr>
                <w:rFonts w:ascii="Helvetica" w:eastAsia="Times New Roman" w:hAnsi="Helvetica" w:cs="Helvetica"/>
                <w:color w:val="4C4D4F"/>
                <w:sz w:val="18"/>
                <w:szCs w:val="18"/>
              </w:rPr>
              <w:t>Fixed interest, hybrid securities &amp; cash 0-100%</w:t>
            </w:r>
          </w:p>
        </w:tc>
      </w:tr>
      <w:tr w:rsidR="003A00AF" w:rsidRPr="00793596" w14:paraId="4532EC6C" w14:textId="77777777" w:rsidTr="002E5240">
        <w:trPr>
          <w:cantSplit/>
          <w:trHeight w:val="308"/>
        </w:trPr>
        <w:tc>
          <w:tcPr>
            <w:tcW w:w="2410" w:type="dxa"/>
          </w:tcPr>
          <w:p w14:paraId="37C523AF" w14:textId="77777777" w:rsidR="003A00AF" w:rsidRPr="00301E8A" w:rsidRDefault="003A00AF" w:rsidP="009479DE">
            <w:pPr>
              <w:pStyle w:val="BodyText"/>
              <w:spacing w:before="0" w:line="240" w:lineRule="auto"/>
              <w:ind w:left="0" w:right="0"/>
              <w:rPr>
                <w:rFonts w:ascii="Helvetica" w:hAnsi="Helvetica" w:cs="Arial"/>
                <w:b/>
                <w:bCs/>
                <w:color w:val="auto"/>
              </w:rPr>
            </w:pPr>
            <w:r w:rsidRPr="00301E8A">
              <w:rPr>
                <w:rFonts w:ascii="Helvetica" w:hAnsi="Helvetica" w:cs="Arial"/>
                <w:b/>
                <w:bCs/>
                <w:color w:val="auto"/>
              </w:rPr>
              <w:t>Asset allocation</w:t>
            </w:r>
          </w:p>
          <w:p w14:paraId="1443D6BF" w14:textId="2432C344" w:rsidR="003A00AF" w:rsidRPr="00301E8A" w:rsidRDefault="003A00AF" w:rsidP="009479DE">
            <w:pPr>
              <w:pStyle w:val="Table"/>
              <w:spacing w:line="240" w:lineRule="auto"/>
              <w:rPr>
                <w:rFonts w:ascii="Helvetica" w:hAnsi="Helvetica" w:cs="Arial"/>
                <w:b/>
                <w:bCs/>
                <w:color w:val="auto"/>
                <w:sz w:val="18"/>
                <w:szCs w:val="18"/>
              </w:rPr>
            </w:pPr>
          </w:p>
        </w:tc>
        <w:tc>
          <w:tcPr>
            <w:tcW w:w="3898" w:type="dxa"/>
            <w:shd w:val="clear" w:color="auto" w:fill="auto"/>
          </w:tcPr>
          <w:p w14:paraId="5B6EEC5D" w14:textId="186D837E" w:rsidR="0020627E" w:rsidRPr="00591645" w:rsidRDefault="0020627E" w:rsidP="0020627E">
            <w:pPr>
              <w:spacing w:line="240" w:lineRule="auto"/>
              <w:rPr>
                <w:rFonts w:ascii="Helvetica" w:hAnsi="Helvetica" w:cs="Arial"/>
                <w:sz w:val="18"/>
                <w:szCs w:val="18"/>
              </w:rPr>
            </w:pPr>
            <w:r w:rsidRPr="00591645">
              <w:rPr>
                <w:rFonts w:ascii="Helvetica" w:hAnsi="Helvetica" w:cs="Arial"/>
                <w:sz w:val="18"/>
                <w:szCs w:val="18"/>
              </w:rPr>
              <w:t xml:space="preserve">Cash </w:t>
            </w:r>
            <w:r w:rsidR="00F16047">
              <w:rPr>
                <w:rFonts w:ascii="Helvetica" w:hAnsi="Helvetica" w:cs="Arial"/>
                <w:sz w:val="18"/>
                <w:szCs w:val="18"/>
              </w:rPr>
              <w:t>5.3%</w:t>
            </w:r>
          </w:p>
          <w:p w14:paraId="09920D6B" w14:textId="3C5A33BE" w:rsidR="003A00AF" w:rsidRPr="00591645" w:rsidRDefault="0020627E" w:rsidP="009479DE">
            <w:pPr>
              <w:pStyle w:val="TableHeading2"/>
              <w:spacing w:line="240" w:lineRule="auto"/>
              <w:rPr>
                <w:rFonts w:ascii="Helvetica" w:hAnsi="Helvetica" w:cs="Arial"/>
                <w:sz w:val="18"/>
                <w:szCs w:val="18"/>
              </w:rPr>
            </w:pPr>
            <w:r w:rsidRPr="00591645">
              <w:rPr>
                <w:rFonts w:ascii="Helvetica" w:hAnsi="Helvetica" w:cs="Arial"/>
                <w:sz w:val="18"/>
                <w:szCs w:val="18"/>
              </w:rPr>
              <w:t xml:space="preserve">Australian </w:t>
            </w:r>
            <w:r w:rsidR="00F16047">
              <w:rPr>
                <w:rFonts w:ascii="Helvetica" w:hAnsi="Helvetica" w:cs="Arial"/>
                <w:sz w:val="18"/>
                <w:szCs w:val="18"/>
              </w:rPr>
              <w:t>fixed interest 94.7%</w:t>
            </w:r>
          </w:p>
        </w:tc>
        <w:tc>
          <w:tcPr>
            <w:tcW w:w="3898" w:type="dxa"/>
            <w:shd w:val="clear" w:color="auto" w:fill="auto"/>
          </w:tcPr>
          <w:p w14:paraId="453F0EBD" w14:textId="6B7FD7FD" w:rsidR="00EA485E" w:rsidRPr="00591645" w:rsidRDefault="00EA485E" w:rsidP="00EA485E">
            <w:pPr>
              <w:spacing w:line="240" w:lineRule="auto"/>
              <w:rPr>
                <w:rFonts w:ascii="Helvetica" w:hAnsi="Helvetica" w:cs="Arial"/>
                <w:sz w:val="18"/>
                <w:szCs w:val="18"/>
              </w:rPr>
            </w:pPr>
            <w:r w:rsidRPr="00591645">
              <w:rPr>
                <w:rFonts w:ascii="Helvetica" w:hAnsi="Helvetica" w:cs="Arial"/>
                <w:sz w:val="18"/>
                <w:szCs w:val="18"/>
              </w:rPr>
              <w:t xml:space="preserve">Cash </w:t>
            </w:r>
            <w:r w:rsidR="00F16047">
              <w:rPr>
                <w:rFonts w:ascii="Helvetica" w:hAnsi="Helvetica" w:cs="Arial"/>
                <w:sz w:val="18"/>
                <w:szCs w:val="18"/>
              </w:rPr>
              <w:t>4.7%</w:t>
            </w:r>
            <w:r w:rsidRPr="00591645">
              <w:rPr>
                <w:rFonts w:ascii="Helvetica" w:hAnsi="Helvetica" w:cs="Arial"/>
                <w:sz w:val="18"/>
                <w:szCs w:val="18"/>
              </w:rPr>
              <w:t xml:space="preserve"> </w:t>
            </w:r>
          </w:p>
          <w:p w14:paraId="431985E8" w14:textId="228DE831" w:rsidR="003A00AF" w:rsidRPr="00591645" w:rsidRDefault="00EA485E" w:rsidP="00EA485E">
            <w:pPr>
              <w:pStyle w:val="TableHeading2"/>
              <w:spacing w:line="240" w:lineRule="auto"/>
              <w:rPr>
                <w:rFonts w:ascii="Helvetica" w:hAnsi="Helvetica" w:cs="Arial"/>
                <w:sz w:val="18"/>
                <w:szCs w:val="18"/>
              </w:rPr>
            </w:pPr>
            <w:r w:rsidRPr="00591645">
              <w:rPr>
                <w:rFonts w:ascii="Helvetica" w:hAnsi="Helvetica" w:cs="Arial"/>
                <w:sz w:val="18"/>
                <w:szCs w:val="18"/>
              </w:rPr>
              <w:t xml:space="preserve">Australian </w:t>
            </w:r>
            <w:r w:rsidR="00F16047">
              <w:rPr>
                <w:rFonts w:ascii="Helvetica" w:hAnsi="Helvetica" w:cs="Arial"/>
                <w:sz w:val="18"/>
                <w:szCs w:val="18"/>
              </w:rPr>
              <w:t>fixed interest 95.</w:t>
            </w:r>
            <w:r w:rsidR="00422A2F">
              <w:rPr>
                <w:rFonts w:ascii="Helvetica" w:hAnsi="Helvetica" w:cs="Arial"/>
                <w:sz w:val="18"/>
                <w:szCs w:val="18"/>
              </w:rPr>
              <w:t>3</w:t>
            </w:r>
            <w:r w:rsidR="00F16047">
              <w:rPr>
                <w:rFonts w:ascii="Helvetica" w:hAnsi="Helvetica" w:cs="Arial"/>
                <w:sz w:val="18"/>
                <w:szCs w:val="18"/>
              </w:rPr>
              <w:t>%</w:t>
            </w:r>
          </w:p>
        </w:tc>
      </w:tr>
      <w:tr w:rsidR="003A00AF" w:rsidRPr="00793596" w14:paraId="37340AB8" w14:textId="77777777" w:rsidTr="002E5240">
        <w:trPr>
          <w:cantSplit/>
          <w:trHeight w:val="308"/>
        </w:trPr>
        <w:tc>
          <w:tcPr>
            <w:tcW w:w="2410" w:type="dxa"/>
          </w:tcPr>
          <w:p w14:paraId="09E0B6BA" w14:textId="238D10C2" w:rsidR="003A00AF" w:rsidRPr="00301E8A" w:rsidRDefault="003A00AF" w:rsidP="009479DE">
            <w:pPr>
              <w:pStyle w:val="Table"/>
              <w:spacing w:line="240" w:lineRule="auto"/>
              <w:rPr>
                <w:rFonts w:ascii="Helvetica" w:hAnsi="Helvetica" w:cs="Arial"/>
                <w:b/>
                <w:bCs/>
                <w:color w:val="auto"/>
                <w:sz w:val="18"/>
                <w:szCs w:val="18"/>
              </w:rPr>
            </w:pPr>
            <w:r w:rsidRPr="00301E8A">
              <w:rPr>
                <w:rFonts w:ascii="Helvetica" w:hAnsi="Helvetica" w:cs="Arial"/>
                <w:b/>
                <w:bCs/>
                <w:color w:val="auto"/>
                <w:sz w:val="18"/>
                <w:szCs w:val="18"/>
              </w:rPr>
              <w:t>Risk level</w:t>
            </w:r>
            <w:r w:rsidR="007219E7">
              <w:rPr>
                <w:rFonts w:ascii="Helvetica" w:hAnsi="Helvetica" w:cs="Arial"/>
                <w:b/>
                <w:bCs/>
                <w:color w:val="auto"/>
                <w:sz w:val="18"/>
                <w:szCs w:val="18"/>
                <w:vertAlign w:val="superscript"/>
              </w:rPr>
              <w:t>1</w:t>
            </w:r>
          </w:p>
        </w:tc>
        <w:tc>
          <w:tcPr>
            <w:tcW w:w="3898" w:type="dxa"/>
            <w:shd w:val="clear" w:color="auto" w:fill="auto"/>
          </w:tcPr>
          <w:p w14:paraId="0CCEB013" w14:textId="3B5C2B56" w:rsidR="003A00AF" w:rsidRPr="00591645" w:rsidRDefault="00C95ACF" w:rsidP="009479DE">
            <w:pPr>
              <w:pStyle w:val="TableHeading2"/>
              <w:spacing w:line="240" w:lineRule="auto"/>
              <w:rPr>
                <w:rFonts w:ascii="Helvetica" w:hAnsi="Helvetica" w:cs="Arial"/>
                <w:sz w:val="18"/>
                <w:szCs w:val="18"/>
              </w:rPr>
            </w:pPr>
            <w:r>
              <w:rPr>
                <w:rFonts w:ascii="Helvetica" w:hAnsi="Helvetica" w:cs="Arial"/>
                <w:sz w:val="18"/>
                <w:szCs w:val="18"/>
              </w:rPr>
              <w:t>5 – Medium to High</w:t>
            </w:r>
          </w:p>
        </w:tc>
        <w:tc>
          <w:tcPr>
            <w:tcW w:w="3898" w:type="dxa"/>
            <w:shd w:val="clear" w:color="auto" w:fill="auto"/>
          </w:tcPr>
          <w:p w14:paraId="70458CB6" w14:textId="59F75C14" w:rsidR="003A00AF" w:rsidRPr="00591645" w:rsidRDefault="00C95ACF" w:rsidP="009479DE">
            <w:pPr>
              <w:pStyle w:val="TableHeading2"/>
              <w:spacing w:line="240" w:lineRule="auto"/>
              <w:rPr>
                <w:rFonts w:ascii="Helvetica" w:hAnsi="Helvetica" w:cs="Arial"/>
                <w:sz w:val="18"/>
                <w:szCs w:val="18"/>
              </w:rPr>
            </w:pPr>
            <w:r>
              <w:rPr>
                <w:rFonts w:ascii="Helvetica" w:hAnsi="Helvetica" w:cs="Arial"/>
                <w:sz w:val="18"/>
                <w:szCs w:val="18"/>
              </w:rPr>
              <w:t>5 – Medium to High</w:t>
            </w:r>
          </w:p>
        </w:tc>
      </w:tr>
      <w:tr w:rsidR="003A00AF" w:rsidRPr="00793596" w14:paraId="6684855A" w14:textId="77777777" w:rsidTr="00734192">
        <w:trPr>
          <w:cantSplit/>
          <w:trHeight w:val="308"/>
        </w:trPr>
        <w:tc>
          <w:tcPr>
            <w:tcW w:w="2410" w:type="dxa"/>
            <w:tcBorders>
              <w:bottom w:val="single" w:sz="2" w:space="0" w:color="A3A3A3"/>
            </w:tcBorders>
          </w:tcPr>
          <w:p w14:paraId="270A5069" w14:textId="4AD0ED88" w:rsidR="003A00AF" w:rsidRPr="00301E8A" w:rsidRDefault="003A00AF" w:rsidP="009479DE">
            <w:pPr>
              <w:pStyle w:val="Table"/>
              <w:spacing w:line="240" w:lineRule="auto"/>
              <w:rPr>
                <w:rFonts w:ascii="Helvetica" w:hAnsi="Helvetica" w:cs="Arial"/>
                <w:b/>
                <w:bCs/>
                <w:color w:val="auto"/>
                <w:sz w:val="18"/>
                <w:szCs w:val="18"/>
              </w:rPr>
            </w:pPr>
            <w:r w:rsidRPr="00301E8A">
              <w:rPr>
                <w:rFonts w:ascii="Helvetica" w:hAnsi="Helvetica" w:cs="Arial"/>
                <w:b/>
                <w:bCs/>
                <w:color w:val="auto"/>
                <w:sz w:val="18"/>
                <w:szCs w:val="18"/>
              </w:rPr>
              <w:t>Suggested minimum length of investment</w:t>
            </w:r>
          </w:p>
        </w:tc>
        <w:tc>
          <w:tcPr>
            <w:tcW w:w="3898" w:type="dxa"/>
            <w:shd w:val="clear" w:color="auto" w:fill="auto"/>
          </w:tcPr>
          <w:p w14:paraId="51BB9F64" w14:textId="0194634E" w:rsidR="003A00AF" w:rsidRPr="00591645" w:rsidRDefault="00C95ACF" w:rsidP="009479DE">
            <w:pPr>
              <w:pStyle w:val="TableHeading2"/>
              <w:spacing w:line="240" w:lineRule="auto"/>
              <w:rPr>
                <w:rFonts w:ascii="Helvetica" w:hAnsi="Helvetica" w:cs="Arial"/>
                <w:sz w:val="18"/>
                <w:szCs w:val="18"/>
              </w:rPr>
            </w:pPr>
            <w:r>
              <w:rPr>
                <w:rFonts w:ascii="Helvetica" w:hAnsi="Helvetica" w:cs="Arial"/>
                <w:sz w:val="18"/>
                <w:szCs w:val="18"/>
              </w:rPr>
              <w:t>3</w:t>
            </w:r>
            <w:r w:rsidR="003A00AF" w:rsidRPr="00591645">
              <w:rPr>
                <w:rFonts w:ascii="Helvetica" w:hAnsi="Helvetica" w:cs="Arial"/>
                <w:sz w:val="18"/>
                <w:szCs w:val="18"/>
              </w:rPr>
              <w:t xml:space="preserve"> years</w:t>
            </w:r>
          </w:p>
        </w:tc>
        <w:tc>
          <w:tcPr>
            <w:tcW w:w="3898" w:type="dxa"/>
            <w:shd w:val="clear" w:color="auto" w:fill="auto"/>
          </w:tcPr>
          <w:p w14:paraId="25DE919A" w14:textId="34B25A5D" w:rsidR="003A00AF" w:rsidRPr="00591645" w:rsidRDefault="00C95ACF" w:rsidP="009479DE">
            <w:pPr>
              <w:pStyle w:val="TableHeading2"/>
              <w:spacing w:line="240" w:lineRule="auto"/>
              <w:rPr>
                <w:rFonts w:ascii="Helvetica" w:hAnsi="Helvetica" w:cs="Arial"/>
                <w:sz w:val="18"/>
                <w:szCs w:val="18"/>
              </w:rPr>
            </w:pPr>
            <w:r>
              <w:rPr>
                <w:rFonts w:ascii="Helvetica" w:hAnsi="Helvetica" w:cs="Arial"/>
                <w:sz w:val="18"/>
                <w:szCs w:val="18"/>
              </w:rPr>
              <w:t>3</w:t>
            </w:r>
            <w:r w:rsidR="00D03FB7" w:rsidRPr="00591645">
              <w:rPr>
                <w:rFonts w:ascii="Helvetica" w:hAnsi="Helvetica" w:cs="Arial"/>
                <w:sz w:val="18"/>
                <w:szCs w:val="18"/>
              </w:rPr>
              <w:t xml:space="preserve"> years</w:t>
            </w:r>
          </w:p>
        </w:tc>
      </w:tr>
      <w:tr w:rsidR="003A00AF" w:rsidRPr="007219E7" w14:paraId="6F2A574B" w14:textId="77777777" w:rsidTr="00734192">
        <w:trPr>
          <w:cantSplit/>
          <w:trHeight w:val="308"/>
        </w:trPr>
        <w:tc>
          <w:tcPr>
            <w:tcW w:w="2410" w:type="dxa"/>
            <w:tcBorders>
              <w:top w:val="single" w:sz="2" w:space="0" w:color="A3A3A3"/>
              <w:bottom w:val="single" w:sz="4" w:space="0" w:color="auto"/>
            </w:tcBorders>
          </w:tcPr>
          <w:p w14:paraId="5ACCF069" w14:textId="39FE217E" w:rsidR="003A00AF" w:rsidRPr="00301E8A" w:rsidRDefault="003A00AF" w:rsidP="009479DE">
            <w:pPr>
              <w:pStyle w:val="Table"/>
              <w:spacing w:line="240" w:lineRule="auto"/>
              <w:rPr>
                <w:rFonts w:ascii="Helvetica" w:hAnsi="Helvetica" w:cs="Arial"/>
                <w:b/>
                <w:bCs/>
                <w:color w:val="auto"/>
                <w:sz w:val="18"/>
                <w:szCs w:val="18"/>
              </w:rPr>
            </w:pPr>
            <w:r w:rsidRPr="00301E8A">
              <w:rPr>
                <w:rFonts w:ascii="Helvetica" w:hAnsi="Helvetica" w:cs="Arial"/>
                <w:b/>
                <w:bCs/>
                <w:color w:val="auto"/>
                <w:sz w:val="18"/>
                <w:szCs w:val="18"/>
              </w:rPr>
              <w:t>Buy/sell spread</w:t>
            </w:r>
          </w:p>
        </w:tc>
        <w:tc>
          <w:tcPr>
            <w:tcW w:w="3898" w:type="dxa"/>
            <w:shd w:val="clear" w:color="auto" w:fill="auto"/>
          </w:tcPr>
          <w:p w14:paraId="032FDD97" w14:textId="39417003" w:rsidR="003A00AF" w:rsidRPr="00734192" w:rsidRDefault="00C95ACF" w:rsidP="009479DE">
            <w:pPr>
              <w:pStyle w:val="TableHeading2"/>
              <w:spacing w:line="240" w:lineRule="auto"/>
              <w:rPr>
                <w:rFonts w:ascii="Helvetica" w:hAnsi="Helvetica" w:cs="Arial"/>
                <w:color w:val="auto"/>
                <w:sz w:val="18"/>
                <w:szCs w:val="18"/>
              </w:rPr>
            </w:pPr>
            <w:r w:rsidRPr="00734192">
              <w:rPr>
                <w:rFonts w:ascii="Helvetica" w:hAnsi="Helvetica" w:cs="Arial"/>
                <w:color w:val="auto"/>
                <w:sz w:val="18"/>
                <w:szCs w:val="18"/>
              </w:rPr>
              <w:t>0.09%/0.09%</w:t>
            </w:r>
          </w:p>
        </w:tc>
        <w:tc>
          <w:tcPr>
            <w:tcW w:w="3898" w:type="dxa"/>
            <w:shd w:val="clear" w:color="auto" w:fill="auto"/>
          </w:tcPr>
          <w:p w14:paraId="5E549D7B" w14:textId="1E72FA59" w:rsidR="003A00AF" w:rsidRPr="00734192" w:rsidRDefault="00C95ACF" w:rsidP="009479DE">
            <w:pPr>
              <w:pStyle w:val="TableHeading2"/>
              <w:spacing w:line="240" w:lineRule="auto"/>
              <w:rPr>
                <w:rFonts w:ascii="Helvetica" w:hAnsi="Helvetica" w:cs="Arial"/>
                <w:color w:val="auto"/>
                <w:sz w:val="18"/>
                <w:szCs w:val="18"/>
              </w:rPr>
            </w:pPr>
            <w:r w:rsidRPr="00734192">
              <w:rPr>
                <w:rFonts w:ascii="Helvetica" w:hAnsi="Helvetica" w:cs="Arial"/>
                <w:color w:val="auto"/>
                <w:sz w:val="18"/>
                <w:szCs w:val="18"/>
              </w:rPr>
              <w:t>0.10%/0.10%</w:t>
            </w:r>
          </w:p>
        </w:tc>
      </w:tr>
    </w:tbl>
    <w:p w14:paraId="3FA8ED05" w14:textId="77777777" w:rsidR="007219E7" w:rsidRDefault="007219E7">
      <w:r>
        <w:br w:type="page"/>
      </w:r>
    </w:p>
    <w:tbl>
      <w:tblPr>
        <w:tblStyle w:val="TableGrid"/>
        <w:tblW w:w="10260" w:type="dxa"/>
        <w:tblInd w:w="-54" w:type="dxa"/>
        <w:tblBorders>
          <w:top w:val="none" w:sz="0" w:space="0" w:color="auto"/>
          <w:left w:val="none" w:sz="0" w:space="0" w:color="auto"/>
          <w:bottom w:val="none" w:sz="0" w:space="0" w:color="auto"/>
          <w:right w:val="none" w:sz="0" w:space="0" w:color="auto"/>
          <w:insideH w:val="single" w:sz="2" w:space="0" w:color="A3A3A3"/>
          <w:insideV w:val="none" w:sz="0" w:space="0" w:color="auto"/>
        </w:tblBorders>
        <w:tblCellMar>
          <w:top w:w="85" w:type="dxa"/>
          <w:left w:w="0" w:type="dxa"/>
          <w:bottom w:w="85" w:type="dxa"/>
        </w:tblCellMar>
        <w:tblLook w:val="04A0" w:firstRow="1" w:lastRow="0" w:firstColumn="1" w:lastColumn="0" w:noHBand="0" w:noVBand="1"/>
      </w:tblPr>
      <w:tblGrid>
        <w:gridCol w:w="54"/>
        <w:gridCol w:w="2410"/>
        <w:gridCol w:w="3898"/>
        <w:gridCol w:w="3898"/>
      </w:tblGrid>
      <w:tr w:rsidR="007219E7" w:rsidRPr="00301E8A" w14:paraId="60D50CC8" w14:textId="77777777" w:rsidTr="007219E7">
        <w:trPr>
          <w:cantSplit/>
          <w:trHeight w:val="308"/>
          <w:tblHeader/>
        </w:trPr>
        <w:tc>
          <w:tcPr>
            <w:tcW w:w="2464" w:type="dxa"/>
            <w:gridSpan w:val="2"/>
          </w:tcPr>
          <w:p w14:paraId="5A93F7E4" w14:textId="77777777" w:rsidR="007219E7" w:rsidRPr="00301E8A" w:rsidRDefault="007219E7" w:rsidP="00DF4000">
            <w:pPr>
              <w:pStyle w:val="TableHeading"/>
              <w:spacing w:line="240" w:lineRule="auto"/>
              <w:rPr>
                <w:rFonts w:ascii="Helvetica" w:hAnsi="Helvetica"/>
                <w:b/>
                <w:bCs/>
                <w:color w:val="auto"/>
                <w:sz w:val="18"/>
                <w:szCs w:val="18"/>
              </w:rPr>
            </w:pPr>
          </w:p>
        </w:tc>
        <w:tc>
          <w:tcPr>
            <w:tcW w:w="3898" w:type="dxa"/>
            <w:shd w:val="clear" w:color="auto" w:fill="auto"/>
          </w:tcPr>
          <w:p w14:paraId="7999BD44" w14:textId="77777777" w:rsidR="007219E7" w:rsidRPr="00301E8A" w:rsidRDefault="007219E7" w:rsidP="00DF4000">
            <w:pPr>
              <w:pStyle w:val="Table"/>
              <w:spacing w:line="240" w:lineRule="auto"/>
              <w:rPr>
                <w:rFonts w:ascii="Helvetica" w:hAnsi="Helvetica" w:cs="Arial"/>
                <w:b/>
                <w:bCs/>
                <w:color w:val="auto"/>
                <w:sz w:val="18"/>
                <w:szCs w:val="18"/>
              </w:rPr>
            </w:pPr>
            <w:r>
              <w:rPr>
                <w:rFonts w:ascii="Helvetica" w:hAnsi="Helvetica" w:cs="Arial"/>
                <w:b/>
                <w:bCs/>
                <w:color w:val="auto"/>
                <w:sz w:val="18"/>
                <w:szCs w:val="18"/>
              </w:rPr>
              <w:t>Pendal Enhanced Credit Fund</w:t>
            </w:r>
            <w:r w:rsidRPr="00301E8A" w:rsidDel="003D1DDC">
              <w:rPr>
                <w:rFonts w:ascii="Helvetica" w:hAnsi="Helvetica" w:cs="Arial"/>
                <w:b/>
                <w:bCs/>
                <w:color w:val="auto"/>
                <w:sz w:val="18"/>
                <w:szCs w:val="18"/>
              </w:rPr>
              <w:t xml:space="preserve"> </w:t>
            </w:r>
            <w:r w:rsidRPr="00301E8A">
              <w:rPr>
                <w:rFonts w:ascii="Helvetica" w:hAnsi="Helvetica" w:cs="Arial"/>
                <w:b/>
                <w:bCs/>
                <w:color w:val="auto"/>
                <w:sz w:val="18"/>
                <w:szCs w:val="18"/>
              </w:rPr>
              <w:t>(OLD)</w:t>
            </w:r>
          </w:p>
        </w:tc>
        <w:tc>
          <w:tcPr>
            <w:tcW w:w="3898" w:type="dxa"/>
            <w:shd w:val="clear" w:color="auto" w:fill="auto"/>
          </w:tcPr>
          <w:p w14:paraId="19FED8EF" w14:textId="77777777" w:rsidR="007219E7" w:rsidRPr="00301E8A" w:rsidRDefault="007219E7" w:rsidP="00DF4000">
            <w:pPr>
              <w:pStyle w:val="Table"/>
              <w:spacing w:line="240" w:lineRule="auto"/>
              <w:rPr>
                <w:rFonts w:ascii="Helvetica" w:hAnsi="Helvetica" w:cs="Arial"/>
                <w:b/>
                <w:bCs/>
                <w:color w:val="auto"/>
                <w:sz w:val="18"/>
                <w:szCs w:val="18"/>
              </w:rPr>
            </w:pPr>
            <w:r>
              <w:rPr>
                <w:rFonts w:ascii="Helvetica" w:hAnsi="Helvetica" w:cs="Arial"/>
                <w:b/>
                <w:bCs/>
                <w:color w:val="auto"/>
                <w:sz w:val="18"/>
                <w:szCs w:val="18"/>
              </w:rPr>
              <w:t>Yarra Enhanced Income Fund</w:t>
            </w:r>
            <w:r w:rsidRPr="00301E8A" w:rsidDel="00EA485E">
              <w:rPr>
                <w:rFonts w:ascii="Helvetica" w:hAnsi="Helvetica" w:cs="Arial"/>
                <w:b/>
                <w:bCs/>
                <w:color w:val="auto"/>
                <w:sz w:val="18"/>
                <w:szCs w:val="18"/>
              </w:rPr>
              <w:t xml:space="preserve"> </w:t>
            </w:r>
            <w:r w:rsidRPr="00301E8A">
              <w:rPr>
                <w:rFonts w:ascii="Helvetica" w:hAnsi="Helvetica" w:cs="Arial"/>
                <w:b/>
                <w:bCs/>
                <w:color w:val="auto"/>
                <w:sz w:val="18"/>
                <w:szCs w:val="18"/>
              </w:rPr>
              <w:t>(NEW)</w:t>
            </w:r>
          </w:p>
        </w:tc>
      </w:tr>
      <w:tr w:rsidR="003A00AF" w:rsidRPr="00793596" w14:paraId="058FD01E" w14:textId="77777777" w:rsidTr="007219E7">
        <w:trPr>
          <w:gridBefore w:val="1"/>
          <w:wBefore w:w="54" w:type="dxa"/>
          <w:cantSplit/>
          <w:trHeight w:val="308"/>
        </w:trPr>
        <w:tc>
          <w:tcPr>
            <w:tcW w:w="2410" w:type="dxa"/>
          </w:tcPr>
          <w:p w14:paraId="3BDF90B1" w14:textId="75C8AC21" w:rsidR="003A00AF" w:rsidRPr="00301E8A" w:rsidRDefault="003A00AF" w:rsidP="009479DE">
            <w:pPr>
              <w:pStyle w:val="Table"/>
              <w:spacing w:line="240" w:lineRule="auto"/>
              <w:rPr>
                <w:rFonts w:ascii="Helvetica" w:hAnsi="Helvetica" w:cs="Arial"/>
                <w:b/>
                <w:bCs/>
                <w:color w:val="auto"/>
                <w:sz w:val="18"/>
                <w:szCs w:val="18"/>
              </w:rPr>
            </w:pPr>
            <w:r w:rsidRPr="00301E8A">
              <w:rPr>
                <w:rFonts w:ascii="Helvetica" w:hAnsi="Helvetica" w:cs="Arial"/>
                <w:b/>
                <w:bCs/>
                <w:color w:val="auto"/>
                <w:sz w:val="18"/>
                <w:szCs w:val="18"/>
              </w:rPr>
              <w:t xml:space="preserve">Investment management </w:t>
            </w:r>
            <w:r w:rsidR="00C46310">
              <w:rPr>
                <w:rFonts w:ascii="Helvetica" w:hAnsi="Helvetica" w:cs="Arial"/>
                <w:b/>
                <w:bCs/>
                <w:color w:val="auto"/>
                <w:sz w:val="18"/>
                <w:szCs w:val="18"/>
              </w:rPr>
              <w:t xml:space="preserve">fees and </w:t>
            </w:r>
            <w:r w:rsidRPr="00301E8A">
              <w:rPr>
                <w:rFonts w:ascii="Helvetica" w:hAnsi="Helvetica" w:cs="Arial"/>
                <w:b/>
                <w:bCs/>
                <w:color w:val="auto"/>
                <w:sz w:val="18"/>
                <w:szCs w:val="18"/>
              </w:rPr>
              <w:t>costs</w:t>
            </w:r>
            <w:r w:rsidR="00C46310" w:rsidRPr="00C46310">
              <w:rPr>
                <w:rFonts w:ascii="Helvetica" w:hAnsi="Helvetica" w:cs="Arial"/>
                <w:b/>
                <w:bCs/>
                <w:color w:val="auto"/>
                <w:sz w:val="18"/>
                <w:szCs w:val="18"/>
                <w:vertAlign w:val="superscript"/>
              </w:rPr>
              <w:t>2</w:t>
            </w:r>
          </w:p>
        </w:tc>
        <w:tc>
          <w:tcPr>
            <w:tcW w:w="3898" w:type="dxa"/>
            <w:shd w:val="clear" w:color="auto" w:fill="auto"/>
          </w:tcPr>
          <w:p w14:paraId="28EC5C13" w14:textId="2E805D09" w:rsidR="003A00AF" w:rsidRPr="00591645" w:rsidRDefault="0020627E" w:rsidP="009479DE">
            <w:pPr>
              <w:pStyle w:val="TableHeading2"/>
              <w:spacing w:line="240" w:lineRule="auto"/>
              <w:rPr>
                <w:rFonts w:ascii="Helvetica" w:hAnsi="Helvetica" w:cs="Arial"/>
                <w:sz w:val="18"/>
                <w:szCs w:val="18"/>
              </w:rPr>
            </w:pPr>
            <w:r w:rsidRPr="00591645">
              <w:rPr>
                <w:rFonts w:ascii="Helvetica" w:hAnsi="Helvetica" w:cs="Arial"/>
                <w:sz w:val="18"/>
                <w:szCs w:val="18"/>
              </w:rPr>
              <w:t>0.</w:t>
            </w:r>
            <w:r w:rsidR="0053374F">
              <w:rPr>
                <w:rFonts w:ascii="Helvetica" w:hAnsi="Helvetica" w:cs="Arial"/>
                <w:sz w:val="18"/>
                <w:szCs w:val="18"/>
              </w:rPr>
              <w:t>45</w:t>
            </w:r>
            <w:r w:rsidR="003A00AF" w:rsidRPr="00591645">
              <w:rPr>
                <w:rFonts w:ascii="Helvetica" w:hAnsi="Helvetica" w:cs="Arial"/>
                <w:sz w:val="18"/>
                <w:szCs w:val="18"/>
              </w:rPr>
              <w:t>% p.a.</w:t>
            </w:r>
          </w:p>
          <w:p w14:paraId="0ABE9C4A" w14:textId="29ABE9EE" w:rsidR="0020627E" w:rsidRPr="00591645" w:rsidRDefault="0020627E" w:rsidP="009479DE">
            <w:pPr>
              <w:pStyle w:val="TableHeading2"/>
              <w:spacing w:line="240" w:lineRule="auto"/>
              <w:rPr>
                <w:rFonts w:ascii="Helvetica" w:hAnsi="Helvetica" w:cs="Arial"/>
                <w:sz w:val="18"/>
                <w:szCs w:val="18"/>
              </w:rPr>
            </w:pPr>
          </w:p>
        </w:tc>
        <w:tc>
          <w:tcPr>
            <w:tcW w:w="3898" w:type="dxa"/>
            <w:shd w:val="clear" w:color="auto" w:fill="auto"/>
          </w:tcPr>
          <w:p w14:paraId="04502DD3" w14:textId="24B7958A" w:rsidR="00D03FB7" w:rsidRPr="00591645" w:rsidRDefault="0053374F" w:rsidP="00D03FB7">
            <w:pPr>
              <w:pStyle w:val="TableHeading2"/>
              <w:spacing w:line="240" w:lineRule="auto"/>
              <w:rPr>
                <w:rFonts w:ascii="Helvetica" w:hAnsi="Helvetica" w:cs="Arial"/>
                <w:sz w:val="18"/>
                <w:szCs w:val="18"/>
              </w:rPr>
            </w:pPr>
            <w:r>
              <w:rPr>
                <w:rFonts w:ascii="Helvetica" w:hAnsi="Helvetica" w:cs="Arial"/>
                <w:sz w:val="18"/>
                <w:szCs w:val="18"/>
              </w:rPr>
              <w:t>0.55</w:t>
            </w:r>
            <w:r w:rsidR="00D03FB7" w:rsidRPr="00591645">
              <w:rPr>
                <w:rFonts w:ascii="Helvetica" w:hAnsi="Helvetica" w:cs="Arial"/>
                <w:sz w:val="18"/>
                <w:szCs w:val="18"/>
              </w:rPr>
              <w:t>% p.a.</w:t>
            </w:r>
          </w:p>
          <w:p w14:paraId="4D7E6905" w14:textId="447DD8B5" w:rsidR="003A00AF" w:rsidRPr="00591645" w:rsidRDefault="003A00AF" w:rsidP="00D03FB7">
            <w:pPr>
              <w:pStyle w:val="TableHeading2"/>
              <w:spacing w:line="240" w:lineRule="auto"/>
              <w:rPr>
                <w:rFonts w:ascii="Helvetica" w:hAnsi="Helvetica" w:cs="Arial"/>
                <w:sz w:val="18"/>
                <w:szCs w:val="18"/>
              </w:rPr>
            </w:pPr>
          </w:p>
        </w:tc>
      </w:tr>
      <w:tr w:rsidR="00C46310" w:rsidRPr="00793596" w14:paraId="19016BBF" w14:textId="77777777" w:rsidTr="007219E7">
        <w:trPr>
          <w:gridBefore w:val="1"/>
          <w:wBefore w:w="54" w:type="dxa"/>
          <w:cantSplit/>
          <w:trHeight w:val="308"/>
        </w:trPr>
        <w:tc>
          <w:tcPr>
            <w:tcW w:w="2410" w:type="dxa"/>
          </w:tcPr>
          <w:p w14:paraId="6E50BB1A" w14:textId="5C267B80" w:rsidR="00C46310" w:rsidRPr="00301E8A" w:rsidRDefault="00C46310" w:rsidP="009479DE">
            <w:pPr>
              <w:pStyle w:val="Table"/>
              <w:spacing w:line="240" w:lineRule="auto"/>
              <w:rPr>
                <w:rFonts w:ascii="Helvetica" w:hAnsi="Helvetica" w:cs="Arial"/>
                <w:b/>
                <w:bCs/>
                <w:color w:val="auto"/>
                <w:sz w:val="18"/>
                <w:szCs w:val="18"/>
              </w:rPr>
            </w:pPr>
            <w:r>
              <w:rPr>
                <w:rFonts w:ascii="Helvetica" w:hAnsi="Helvetica" w:cs="Arial"/>
                <w:b/>
                <w:bCs/>
                <w:color w:val="auto"/>
                <w:sz w:val="18"/>
                <w:szCs w:val="18"/>
              </w:rPr>
              <w:t>Performance fees</w:t>
            </w:r>
          </w:p>
        </w:tc>
        <w:tc>
          <w:tcPr>
            <w:tcW w:w="3898" w:type="dxa"/>
            <w:shd w:val="clear" w:color="auto" w:fill="auto"/>
          </w:tcPr>
          <w:p w14:paraId="2A26CBE2" w14:textId="31186050" w:rsidR="00C46310" w:rsidRPr="00591645" w:rsidRDefault="00C46310" w:rsidP="009479DE">
            <w:pPr>
              <w:pStyle w:val="TableHeading2"/>
              <w:spacing w:line="240" w:lineRule="auto"/>
              <w:rPr>
                <w:rFonts w:ascii="Helvetica" w:hAnsi="Helvetica" w:cs="Arial"/>
                <w:sz w:val="18"/>
                <w:szCs w:val="18"/>
              </w:rPr>
            </w:pPr>
            <w:r>
              <w:rPr>
                <w:rFonts w:ascii="Helvetica" w:hAnsi="Helvetica" w:cs="Arial"/>
                <w:sz w:val="18"/>
                <w:szCs w:val="18"/>
              </w:rPr>
              <w:t xml:space="preserve">Not applicable </w:t>
            </w:r>
          </w:p>
        </w:tc>
        <w:tc>
          <w:tcPr>
            <w:tcW w:w="3898" w:type="dxa"/>
            <w:shd w:val="clear" w:color="auto" w:fill="auto"/>
          </w:tcPr>
          <w:p w14:paraId="2D686542" w14:textId="38E2115D" w:rsidR="00C46310" w:rsidRPr="00591645" w:rsidRDefault="00C46310" w:rsidP="009479DE">
            <w:pPr>
              <w:pStyle w:val="TableHeading2"/>
              <w:spacing w:line="240" w:lineRule="auto"/>
              <w:rPr>
                <w:rFonts w:ascii="Helvetica" w:hAnsi="Helvetica" w:cs="Arial"/>
                <w:sz w:val="18"/>
                <w:szCs w:val="18"/>
              </w:rPr>
            </w:pPr>
            <w:r>
              <w:rPr>
                <w:rFonts w:ascii="Helvetica" w:hAnsi="Helvetica" w:cs="Arial"/>
                <w:sz w:val="18"/>
                <w:szCs w:val="18"/>
              </w:rPr>
              <w:t>Not applicable</w:t>
            </w:r>
          </w:p>
        </w:tc>
      </w:tr>
      <w:tr w:rsidR="003A00AF" w:rsidRPr="00793596" w14:paraId="45199AE1" w14:textId="77777777" w:rsidTr="007219E7">
        <w:trPr>
          <w:gridBefore w:val="1"/>
          <w:wBefore w:w="54" w:type="dxa"/>
          <w:cantSplit/>
          <w:trHeight w:val="308"/>
        </w:trPr>
        <w:tc>
          <w:tcPr>
            <w:tcW w:w="2410" w:type="dxa"/>
          </w:tcPr>
          <w:p w14:paraId="71CE5292" w14:textId="1C15EA3A" w:rsidR="003A00AF" w:rsidRPr="00301E8A" w:rsidRDefault="003A00AF" w:rsidP="009479DE">
            <w:pPr>
              <w:pStyle w:val="Table"/>
              <w:spacing w:line="240" w:lineRule="auto"/>
              <w:rPr>
                <w:rFonts w:ascii="Helvetica" w:hAnsi="Helvetica" w:cs="Arial"/>
                <w:b/>
                <w:bCs/>
                <w:color w:val="auto"/>
                <w:sz w:val="18"/>
                <w:szCs w:val="18"/>
              </w:rPr>
            </w:pPr>
            <w:r w:rsidRPr="00301E8A">
              <w:rPr>
                <w:rFonts w:ascii="Helvetica" w:hAnsi="Helvetica" w:cs="Arial"/>
                <w:b/>
                <w:bCs/>
                <w:color w:val="auto"/>
                <w:sz w:val="18"/>
                <w:szCs w:val="18"/>
              </w:rPr>
              <w:t>Indirect transactional &amp; operational costs (estimated)</w:t>
            </w:r>
            <w:r w:rsidR="00C46310" w:rsidRPr="00C46310">
              <w:rPr>
                <w:rFonts w:ascii="Helvetica" w:hAnsi="Helvetica" w:cs="Arial"/>
                <w:b/>
                <w:bCs/>
                <w:color w:val="auto"/>
                <w:sz w:val="18"/>
                <w:szCs w:val="18"/>
                <w:vertAlign w:val="superscript"/>
              </w:rPr>
              <w:t>3</w:t>
            </w:r>
          </w:p>
        </w:tc>
        <w:tc>
          <w:tcPr>
            <w:tcW w:w="3898" w:type="dxa"/>
            <w:shd w:val="clear" w:color="auto" w:fill="auto"/>
          </w:tcPr>
          <w:p w14:paraId="13428F85" w14:textId="2AEF6156" w:rsidR="003A00AF" w:rsidRPr="00591645" w:rsidRDefault="0020627E" w:rsidP="009479DE">
            <w:pPr>
              <w:pStyle w:val="TableHeading2"/>
              <w:spacing w:line="240" w:lineRule="auto"/>
              <w:rPr>
                <w:rFonts w:ascii="Helvetica" w:hAnsi="Helvetica" w:cs="Arial"/>
                <w:sz w:val="18"/>
                <w:szCs w:val="18"/>
              </w:rPr>
            </w:pPr>
            <w:r w:rsidRPr="00591645">
              <w:rPr>
                <w:rFonts w:ascii="Helvetica" w:hAnsi="Helvetica" w:cs="Arial"/>
                <w:sz w:val="18"/>
                <w:szCs w:val="18"/>
              </w:rPr>
              <w:t>0.</w:t>
            </w:r>
            <w:r w:rsidR="0053374F">
              <w:rPr>
                <w:rFonts w:ascii="Helvetica" w:hAnsi="Helvetica" w:cs="Arial"/>
                <w:sz w:val="18"/>
                <w:szCs w:val="18"/>
              </w:rPr>
              <w:t>29</w:t>
            </w:r>
            <w:r w:rsidRPr="00591645">
              <w:rPr>
                <w:rFonts w:ascii="Helvetica" w:hAnsi="Helvetica" w:cs="Arial"/>
                <w:sz w:val="18"/>
                <w:szCs w:val="18"/>
              </w:rPr>
              <w:t>%</w:t>
            </w:r>
            <w:r w:rsidR="003A00AF" w:rsidRPr="00591645">
              <w:rPr>
                <w:rFonts w:ascii="Helvetica" w:hAnsi="Helvetica" w:cs="Arial"/>
                <w:sz w:val="18"/>
                <w:szCs w:val="18"/>
              </w:rPr>
              <w:t xml:space="preserve"> p.a.</w:t>
            </w:r>
          </w:p>
        </w:tc>
        <w:tc>
          <w:tcPr>
            <w:tcW w:w="3898" w:type="dxa"/>
            <w:shd w:val="clear" w:color="auto" w:fill="auto"/>
          </w:tcPr>
          <w:p w14:paraId="7B88AB1E" w14:textId="46538811" w:rsidR="003A00AF" w:rsidRPr="00591645" w:rsidRDefault="00D03FB7" w:rsidP="009479DE">
            <w:pPr>
              <w:pStyle w:val="TableHeading2"/>
              <w:spacing w:line="240" w:lineRule="auto"/>
              <w:rPr>
                <w:rFonts w:ascii="Helvetica" w:hAnsi="Helvetica" w:cs="Arial"/>
                <w:sz w:val="18"/>
                <w:szCs w:val="18"/>
              </w:rPr>
            </w:pPr>
            <w:r w:rsidRPr="00591645">
              <w:rPr>
                <w:rFonts w:ascii="Helvetica" w:hAnsi="Helvetica" w:cs="Arial"/>
                <w:sz w:val="18"/>
                <w:szCs w:val="18"/>
              </w:rPr>
              <w:t>0.</w:t>
            </w:r>
            <w:r w:rsidR="0053374F">
              <w:rPr>
                <w:rFonts w:ascii="Helvetica" w:hAnsi="Helvetica" w:cs="Arial"/>
                <w:sz w:val="18"/>
                <w:szCs w:val="18"/>
              </w:rPr>
              <w:t>32</w:t>
            </w:r>
            <w:r w:rsidRPr="00591645">
              <w:rPr>
                <w:rFonts w:ascii="Helvetica" w:hAnsi="Helvetica" w:cs="Arial"/>
                <w:sz w:val="18"/>
                <w:szCs w:val="18"/>
              </w:rPr>
              <w:t>%</w:t>
            </w:r>
            <w:r w:rsidR="00327675">
              <w:rPr>
                <w:rFonts w:ascii="Helvetica" w:hAnsi="Helvetica" w:cs="Arial"/>
                <w:sz w:val="18"/>
                <w:szCs w:val="18"/>
              </w:rPr>
              <w:t xml:space="preserve"> p.a.</w:t>
            </w:r>
          </w:p>
        </w:tc>
      </w:tr>
      <w:tr w:rsidR="003A00AF" w:rsidRPr="00793596" w14:paraId="7CBC0DD5" w14:textId="77777777" w:rsidTr="007219E7">
        <w:trPr>
          <w:gridBefore w:val="1"/>
          <w:wBefore w:w="54" w:type="dxa"/>
          <w:cantSplit/>
          <w:trHeight w:val="308"/>
        </w:trPr>
        <w:tc>
          <w:tcPr>
            <w:tcW w:w="2410" w:type="dxa"/>
          </w:tcPr>
          <w:p w14:paraId="7C16C20F" w14:textId="1D4F89CE" w:rsidR="003A00AF" w:rsidRPr="00301E8A" w:rsidRDefault="003A00AF" w:rsidP="009479DE">
            <w:pPr>
              <w:pStyle w:val="Table"/>
              <w:spacing w:line="240" w:lineRule="auto"/>
              <w:rPr>
                <w:rFonts w:ascii="Helvetica" w:hAnsi="Helvetica" w:cs="Arial"/>
                <w:b/>
                <w:bCs/>
                <w:color w:val="auto"/>
                <w:sz w:val="18"/>
                <w:szCs w:val="18"/>
              </w:rPr>
            </w:pPr>
            <w:r w:rsidRPr="00301E8A">
              <w:rPr>
                <w:rFonts w:ascii="Helvetica" w:hAnsi="Helvetica" w:cs="Arial"/>
                <w:b/>
                <w:bCs/>
                <w:color w:val="auto"/>
                <w:sz w:val="18"/>
                <w:szCs w:val="18"/>
              </w:rPr>
              <w:t xml:space="preserve">Underlying strategy returns (pre-tax and after investment fees) </w:t>
            </w:r>
          </w:p>
        </w:tc>
        <w:tc>
          <w:tcPr>
            <w:tcW w:w="3898" w:type="dxa"/>
            <w:shd w:val="clear" w:color="auto" w:fill="auto"/>
          </w:tcPr>
          <w:p w14:paraId="6DB23168" w14:textId="252DA4B9" w:rsidR="003A00AF" w:rsidRPr="00591645" w:rsidRDefault="003A00AF" w:rsidP="009479DE">
            <w:pPr>
              <w:spacing w:line="240" w:lineRule="auto"/>
              <w:rPr>
                <w:rFonts w:ascii="Helvetica" w:hAnsi="Helvetica" w:cs="Arial"/>
                <w:sz w:val="18"/>
                <w:szCs w:val="18"/>
              </w:rPr>
            </w:pPr>
            <w:r w:rsidRPr="00591645">
              <w:rPr>
                <w:rFonts w:ascii="Helvetica" w:hAnsi="Helvetica" w:cs="Arial"/>
                <w:sz w:val="18"/>
                <w:szCs w:val="18"/>
              </w:rPr>
              <w:t xml:space="preserve">1 year: </w:t>
            </w:r>
            <w:r w:rsidR="00F16047">
              <w:rPr>
                <w:rFonts w:ascii="Helvetica" w:hAnsi="Helvetica" w:cs="Arial"/>
                <w:sz w:val="18"/>
                <w:szCs w:val="18"/>
              </w:rPr>
              <w:t>6.73%</w:t>
            </w:r>
          </w:p>
          <w:p w14:paraId="681E659B" w14:textId="1D5C9140" w:rsidR="003A00AF" w:rsidRPr="00591645" w:rsidRDefault="003A00AF" w:rsidP="009479DE">
            <w:pPr>
              <w:spacing w:line="240" w:lineRule="auto"/>
              <w:rPr>
                <w:rFonts w:ascii="Helvetica" w:hAnsi="Helvetica" w:cs="Arial"/>
                <w:sz w:val="18"/>
                <w:szCs w:val="18"/>
              </w:rPr>
            </w:pPr>
            <w:r w:rsidRPr="00591645">
              <w:rPr>
                <w:rFonts w:ascii="Helvetica" w:hAnsi="Helvetica" w:cs="Arial"/>
                <w:sz w:val="18"/>
                <w:szCs w:val="18"/>
              </w:rPr>
              <w:t xml:space="preserve">3 years: </w:t>
            </w:r>
            <w:r w:rsidR="00F16047">
              <w:rPr>
                <w:rFonts w:ascii="Helvetica" w:hAnsi="Helvetica" w:cs="Arial"/>
                <w:sz w:val="18"/>
                <w:szCs w:val="18"/>
              </w:rPr>
              <w:t>-0.81%</w:t>
            </w:r>
            <w:r w:rsidR="00327675">
              <w:rPr>
                <w:rFonts w:ascii="Helvetica" w:hAnsi="Helvetica" w:cs="Arial"/>
                <w:sz w:val="18"/>
                <w:szCs w:val="18"/>
              </w:rPr>
              <w:t xml:space="preserve"> p.a.</w:t>
            </w:r>
          </w:p>
          <w:p w14:paraId="101FA666" w14:textId="26E2E2EA" w:rsidR="003A00AF" w:rsidRPr="00591645" w:rsidRDefault="003A00AF" w:rsidP="009479DE">
            <w:pPr>
              <w:pStyle w:val="TableHeading2"/>
              <w:spacing w:line="240" w:lineRule="auto"/>
              <w:rPr>
                <w:rFonts w:ascii="Helvetica" w:hAnsi="Helvetica" w:cs="Arial"/>
                <w:sz w:val="18"/>
                <w:szCs w:val="18"/>
              </w:rPr>
            </w:pPr>
            <w:r w:rsidRPr="00591645">
              <w:rPr>
                <w:rFonts w:ascii="Helvetica" w:hAnsi="Helvetica" w:cs="Arial"/>
                <w:sz w:val="18"/>
                <w:szCs w:val="18"/>
              </w:rPr>
              <w:t xml:space="preserve">5 years: </w:t>
            </w:r>
            <w:r w:rsidR="00F16047">
              <w:rPr>
                <w:rFonts w:ascii="Helvetica" w:hAnsi="Helvetica" w:cs="Arial"/>
                <w:sz w:val="18"/>
                <w:szCs w:val="18"/>
              </w:rPr>
              <w:t>1.75%</w:t>
            </w:r>
            <w:r w:rsidR="00327675">
              <w:rPr>
                <w:rFonts w:ascii="Helvetica" w:hAnsi="Helvetica" w:cs="Arial"/>
                <w:sz w:val="18"/>
                <w:szCs w:val="18"/>
              </w:rPr>
              <w:t xml:space="preserve"> p.a.</w:t>
            </w:r>
          </w:p>
        </w:tc>
        <w:tc>
          <w:tcPr>
            <w:tcW w:w="3898" w:type="dxa"/>
            <w:shd w:val="clear" w:color="auto" w:fill="auto"/>
          </w:tcPr>
          <w:p w14:paraId="489899E6" w14:textId="564AD879" w:rsidR="00245403" w:rsidRPr="00591645" w:rsidRDefault="00245403" w:rsidP="00245403">
            <w:pPr>
              <w:spacing w:line="240" w:lineRule="auto"/>
              <w:rPr>
                <w:rFonts w:ascii="Helvetica" w:hAnsi="Helvetica" w:cs="Arial"/>
                <w:sz w:val="18"/>
                <w:szCs w:val="18"/>
              </w:rPr>
            </w:pPr>
            <w:r w:rsidRPr="00591645">
              <w:rPr>
                <w:rFonts w:ascii="Helvetica" w:hAnsi="Helvetica" w:cs="Arial"/>
                <w:sz w:val="18"/>
                <w:szCs w:val="18"/>
              </w:rPr>
              <w:t xml:space="preserve">1 year: </w:t>
            </w:r>
            <w:r w:rsidR="00F16047">
              <w:rPr>
                <w:rFonts w:ascii="Helvetica" w:hAnsi="Helvetica" w:cs="Arial"/>
                <w:sz w:val="18"/>
                <w:szCs w:val="18"/>
              </w:rPr>
              <w:t>9.53%</w:t>
            </w:r>
          </w:p>
          <w:p w14:paraId="2154E499" w14:textId="45EAB3DB" w:rsidR="00245403" w:rsidRPr="00591645" w:rsidRDefault="00245403" w:rsidP="00245403">
            <w:pPr>
              <w:spacing w:line="240" w:lineRule="auto"/>
              <w:rPr>
                <w:rFonts w:ascii="Helvetica" w:hAnsi="Helvetica" w:cs="Arial"/>
                <w:sz w:val="18"/>
                <w:szCs w:val="18"/>
              </w:rPr>
            </w:pPr>
            <w:r w:rsidRPr="00591645">
              <w:rPr>
                <w:rFonts w:ascii="Helvetica" w:hAnsi="Helvetica" w:cs="Arial"/>
                <w:sz w:val="18"/>
                <w:szCs w:val="18"/>
              </w:rPr>
              <w:t xml:space="preserve">3 years: </w:t>
            </w:r>
            <w:r w:rsidR="00F16047">
              <w:rPr>
                <w:rFonts w:ascii="Helvetica" w:hAnsi="Helvetica" w:cs="Arial"/>
                <w:sz w:val="18"/>
                <w:szCs w:val="18"/>
              </w:rPr>
              <w:t>5.34%</w:t>
            </w:r>
            <w:r w:rsidR="00327675">
              <w:rPr>
                <w:rFonts w:ascii="Helvetica" w:hAnsi="Helvetica" w:cs="Arial"/>
                <w:sz w:val="18"/>
                <w:szCs w:val="18"/>
              </w:rPr>
              <w:t xml:space="preserve"> p.a.</w:t>
            </w:r>
          </w:p>
          <w:p w14:paraId="293F4EBA" w14:textId="2BD9C3E7" w:rsidR="003A00AF" w:rsidRPr="00591645" w:rsidRDefault="00245403" w:rsidP="009479DE">
            <w:pPr>
              <w:pStyle w:val="TableHeading2"/>
              <w:spacing w:line="240" w:lineRule="auto"/>
              <w:rPr>
                <w:rFonts w:ascii="Helvetica" w:hAnsi="Helvetica" w:cs="Arial"/>
                <w:sz w:val="18"/>
                <w:szCs w:val="18"/>
              </w:rPr>
            </w:pPr>
            <w:r w:rsidRPr="00591645">
              <w:rPr>
                <w:rFonts w:ascii="Helvetica" w:hAnsi="Helvetica" w:cs="Arial"/>
                <w:sz w:val="18"/>
                <w:szCs w:val="18"/>
              </w:rPr>
              <w:t xml:space="preserve">5 years: </w:t>
            </w:r>
            <w:r w:rsidR="00F16047">
              <w:rPr>
                <w:rFonts w:ascii="Helvetica" w:hAnsi="Helvetica" w:cs="Arial"/>
                <w:sz w:val="18"/>
                <w:szCs w:val="18"/>
              </w:rPr>
              <w:t>4.92%</w:t>
            </w:r>
            <w:r w:rsidR="00327675">
              <w:rPr>
                <w:rFonts w:ascii="Helvetica" w:hAnsi="Helvetica" w:cs="Arial"/>
                <w:sz w:val="18"/>
                <w:szCs w:val="18"/>
              </w:rPr>
              <w:t xml:space="preserve"> p.a.</w:t>
            </w:r>
          </w:p>
        </w:tc>
      </w:tr>
      <w:tr w:rsidR="003A00AF" w:rsidRPr="00793596" w14:paraId="43C1AB48" w14:textId="77777777" w:rsidTr="007219E7">
        <w:trPr>
          <w:gridBefore w:val="1"/>
          <w:wBefore w:w="54" w:type="dxa"/>
          <w:cantSplit/>
          <w:trHeight w:val="308"/>
        </w:trPr>
        <w:tc>
          <w:tcPr>
            <w:tcW w:w="2410" w:type="dxa"/>
          </w:tcPr>
          <w:p w14:paraId="7CC4E18F" w14:textId="2540508C" w:rsidR="003A00AF" w:rsidRPr="00301E8A" w:rsidRDefault="003A00AF" w:rsidP="009479DE">
            <w:pPr>
              <w:pStyle w:val="Table"/>
              <w:spacing w:line="240" w:lineRule="auto"/>
              <w:rPr>
                <w:rFonts w:ascii="Helvetica" w:hAnsi="Helvetica" w:cs="Arial"/>
                <w:b/>
                <w:bCs/>
                <w:color w:val="auto"/>
                <w:sz w:val="18"/>
                <w:szCs w:val="18"/>
              </w:rPr>
            </w:pPr>
            <w:r w:rsidRPr="00301E8A">
              <w:rPr>
                <w:rFonts w:ascii="Helvetica" w:hAnsi="Helvetica" w:cs="Arial"/>
                <w:b/>
                <w:bCs/>
                <w:color w:val="auto"/>
                <w:sz w:val="18"/>
                <w:szCs w:val="18"/>
              </w:rPr>
              <w:t>Zenith rating</w:t>
            </w:r>
          </w:p>
        </w:tc>
        <w:tc>
          <w:tcPr>
            <w:tcW w:w="3898" w:type="dxa"/>
            <w:shd w:val="clear" w:color="auto" w:fill="auto"/>
          </w:tcPr>
          <w:p w14:paraId="280E2862" w14:textId="7276C237" w:rsidR="003A00AF" w:rsidRPr="00591645" w:rsidRDefault="00F16047" w:rsidP="009479DE">
            <w:pPr>
              <w:pStyle w:val="TableHeading2"/>
              <w:spacing w:line="240" w:lineRule="auto"/>
              <w:rPr>
                <w:rFonts w:ascii="Helvetica" w:hAnsi="Helvetica" w:cs="Arial"/>
                <w:sz w:val="18"/>
                <w:szCs w:val="18"/>
              </w:rPr>
            </w:pPr>
            <w:r>
              <w:rPr>
                <w:rFonts w:ascii="Helvetica" w:hAnsi="Helvetica" w:cs="Arial"/>
                <w:sz w:val="18"/>
                <w:szCs w:val="18"/>
              </w:rPr>
              <w:t>Recommended</w:t>
            </w:r>
          </w:p>
        </w:tc>
        <w:tc>
          <w:tcPr>
            <w:tcW w:w="3898" w:type="dxa"/>
            <w:shd w:val="clear" w:color="auto" w:fill="auto"/>
          </w:tcPr>
          <w:p w14:paraId="422FEDC6" w14:textId="593A1308" w:rsidR="003A00AF" w:rsidRPr="00591645" w:rsidRDefault="00D03FB7" w:rsidP="009479DE">
            <w:pPr>
              <w:pStyle w:val="TableHeading2"/>
              <w:spacing w:line="240" w:lineRule="auto"/>
              <w:rPr>
                <w:rFonts w:ascii="Helvetica" w:hAnsi="Helvetica" w:cs="Arial"/>
                <w:sz w:val="18"/>
                <w:szCs w:val="18"/>
              </w:rPr>
            </w:pPr>
            <w:r w:rsidRPr="00591645">
              <w:rPr>
                <w:rFonts w:ascii="Helvetica" w:hAnsi="Helvetica" w:cs="Arial"/>
                <w:sz w:val="18"/>
                <w:szCs w:val="18"/>
              </w:rPr>
              <w:t>Recommended</w:t>
            </w:r>
          </w:p>
        </w:tc>
      </w:tr>
      <w:tr w:rsidR="003A00AF" w:rsidRPr="00793596" w14:paraId="0F8ACCBA" w14:textId="77777777" w:rsidTr="007219E7">
        <w:trPr>
          <w:gridBefore w:val="1"/>
          <w:wBefore w:w="54" w:type="dxa"/>
          <w:cantSplit/>
          <w:trHeight w:val="308"/>
        </w:trPr>
        <w:tc>
          <w:tcPr>
            <w:tcW w:w="2410" w:type="dxa"/>
          </w:tcPr>
          <w:p w14:paraId="5E54AF27" w14:textId="4E0070C2" w:rsidR="003A00AF" w:rsidRPr="00301E8A" w:rsidRDefault="003A00AF" w:rsidP="009479DE">
            <w:pPr>
              <w:pStyle w:val="Table"/>
              <w:spacing w:line="240" w:lineRule="auto"/>
              <w:rPr>
                <w:rFonts w:ascii="Helvetica" w:hAnsi="Helvetica" w:cs="Arial"/>
                <w:b/>
                <w:bCs/>
                <w:color w:val="auto"/>
                <w:sz w:val="18"/>
                <w:szCs w:val="18"/>
              </w:rPr>
            </w:pPr>
            <w:r w:rsidRPr="00301E8A">
              <w:rPr>
                <w:rFonts w:ascii="Helvetica" w:hAnsi="Helvetica" w:cs="Arial"/>
                <w:b/>
                <w:bCs/>
                <w:color w:val="auto"/>
                <w:sz w:val="18"/>
                <w:szCs w:val="18"/>
              </w:rPr>
              <w:t>Lonsec rating</w:t>
            </w:r>
          </w:p>
        </w:tc>
        <w:tc>
          <w:tcPr>
            <w:tcW w:w="3898" w:type="dxa"/>
            <w:shd w:val="clear" w:color="auto" w:fill="auto"/>
          </w:tcPr>
          <w:p w14:paraId="71D042C2" w14:textId="51059ABC" w:rsidR="003A00AF" w:rsidRPr="00591645" w:rsidRDefault="00F16047" w:rsidP="009479DE">
            <w:pPr>
              <w:pStyle w:val="TableHeading2"/>
              <w:spacing w:line="240" w:lineRule="auto"/>
              <w:rPr>
                <w:rFonts w:ascii="Helvetica" w:hAnsi="Helvetica" w:cs="Arial"/>
                <w:sz w:val="18"/>
                <w:szCs w:val="18"/>
              </w:rPr>
            </w:pPr>
            <w:r>
              <w:rPr>
                <w:rFonts w:ascii="Helvetica" w:hAnsi="Helvetica" w:cs="Arial"/>
                <w:sz w:val="18"/>
                <w:szCs w:val="18"/>
              </w:rPr>
              <w:t>N/A</w:t>
            </w:r>
          </w:p>
        </w:tc>
        <w:tc>
          <w:tcPr>
            <w:tcW w:w="3898" w:type="dxa"/>
            <w:shd w:val="clear" w:color="auto" w:fill="auto"/>
          </w:tcPr>
          <w:p w14:paraId="4092EEFF" w14:textId="77777777" w:rsidR="003A00AF" w:rsidRDefault="00D03FB7" w:rsidP="009479DE">
            <w:pPr>
              <w:pStyle w:val="TableHeading2"/>
              <w:spacing w:line="240" w:lineRule="auto"/>
              <w:rPr>
                <w:rFonts w:ascii="Helvetica" w:hAnsi="Helvetica" w:cs="Arial"/>
                <w:sz w:val="18"/>
                <w:szCs w:val="18"/>
              </w:rPr>
            </w:pPr>
            <w:r w:rsidRPr="00591645">
              <w:rPr>
                <w:rFonts w:ascii="Helvetica" w:hAnsi="Helvetica" w:cs="Arial"/>
                <w:sz w:val="18"/>
                <w:szCs w:val="18"/>
              </w:rPr>
              <w:t>Recommended</w:t>
            </w:r>
          </w:p>
          <w:p w14:paraId="4E52DCAF" w14:textId="77777777" w:rsidR="00175F5D" w:rsidRDefault="00175F5D" w:rsidP="009479DE">
            <w:pPr>
              <w:pStyle w:val="TableHeading2"/>
              <w:spacing w:line="240" w:lineRule="auto"/>
              <w:rPr>
                <w:rFonts w:ascii="Helvetica" w:hAnsi="Helvetica" w:cs="Arial"/>
                <w:sz w:val="18"/>
                <w:szCs w:val="18"/>
              </w:rPr>
            </w:pPr>
          </w:p>
          <w:p w14:paraId="5D9DF347" w14:textId="20D7266C" w:rsidR="00175F5D" w:rsidRPr="00591645" w:rsidRDefault="00175F5D" w:rsidP="009479DE">
            <w:pPr>
              <w:pStyle w:val="TableHeading2"/>
              <w:spacing w:line="240" w:lineRule="auto"/>
              <w:rPr>
                <w:rFonts w:ascii="Helvetica" w:hAnsi="Helvetica" w:cs="Arial"/>
                <w:sz w:val="18"/>
                <w:szCs w:val="18"/>
              </w:rPr>
            </w:pPr>
          </w:p>
        </w:tc>
      </w:tr>
    </w:tbl>
    <w:p w14:paraId="2933013F" w14:textId="1D69CCB5" w:rsidR="00175F5D" w:rsidRPr="00272737" w:rsidRDefault="00175F5D" w:rsidP="00175F5D">
      <w:pPr>
        <w:pStyle w:val="FootnoteText"/>
        <w:rPr>
          <w:rStyle w:val="FootnoteReference"/>
          <w:rFonts w:ascii="Helvetica" w:hAnsi="Helvetica"/>
          <w:sz w:val="16"/>
          <w:szCs w:val="16"/>
        </w:rPr>
      </w:pPr>
      <w:r>
        <w:rPr>
          <w:rStyle w:val="FootnoteReference"/>
          <w:rFonts w:ascii="Helvetica" w:hAnsi="Helvetica"/>
          <w:sz w:val="16"/>
          <w:szCs w:val="16"/>
        </w:rPr>
        <w:footnoteRef/>
      </w:r>
      <w:r>
        <w:rPr>
          <w:rFonts w:ascii="Helvetica" w:hAnsi="Helvetica"/>
          <w:sz w:val="16"/>
          <w:szCs w:val="16"/>
        </w:rPr>
        <w:t xml:space="preserve"> </w:t>
      </w:r>
      <w:r w:rsidRPr="00272737">
        <w:rPr>
          <w:rStyle w:val="FootnoteReference"/>
          <w:rFonts w:ascii="Helvetica" w:hAnsi="Helvetica"/>
          <w:sz w:val="16"/>
          <w:szCs w:val="16"/>
        </w:rPr>
        <w:t>The risk level is based on the Standard Risk Measure which allows investors to compare investment options (refer to the Product Disclosure Statement for more information about the risks of investing).</w:t>
      </w:r>
    </w:p>
    <w:p w14:paraId="24117787" w14:textId="09309E3B" w:rsidR="00422A2F" w:rsidRPr="00272737" w:rsidRDefault="00422A2F" w:rsidP="00272737">
      <w:pPr>
        <w:pStyle w:val="FootnoteText"/>
        <w:rPr>
          <w:rStyle w:val="FootnoteReference"/>
          <w:rFonts w:ascii="Helvetica" w:hAnsi="Helvetica"/>
          <w:sz w:val="16"/>
          <w:szCs w:val="16"/>
        </w:rPr>
      </w:pPr>
      <w:r w:rsidRPr="00272737">
        <w:rPr>
          <w:rStyle w:val="FootnoteReference"/>
        </w:rPr>
        <w:t xml:space="preserve">2 </w:t>
      </w:r>
      <w:r w:rsidRPr="00272737">
        <w:rPr>
          <w:rStyle w:val="FootnoteReference"/>
          <w:rFonts w:ascii="Helvetica" w:hAnsi="Helvetica"/>
          <w:sz w:val="16"/>
          <w:szCs w:val="16"/>
        </w:rPr>
        <w:t xml:space="preserve">Investment management costs include investment manager’s fees, estimated investment expense recoveries and other indirect costs as a percentage of the total average assets of the investment option based on the latest information available, but excludes investment performance fee costs that may be charged or incurred by the investment manager and exclude indirect transaction and operational costs (refer to the Product Disclosure Statement for further information about fees and costs). </w:t>
      </w:r>
    </w:p>
    <w:p w14:paraId="063A6167" w14:textId="0D7DDD3E" w:rsidR="00422A2F" w:rsidRPr="00272737" w:rsidRDefault="00422A2F" w:rsidP="005F5FF6">
      <w:pPr>
        <w:pStyle w:val="FootnoteText"/>
        <w:rPr>
          <w:rStyle w:val="FootnoteReference"/>
          <w:rFonts w:ascii="Helvetica" w:hAnsi="Helvetica"/>
          <w:szCs w:val="16"/>
        </w:rPr>
      </w:pPr>
      <w:r w:rsidRPr="00272737">
        <w:rPr>
          <w:rStyle w:val="FootnoteReference"/>
          <w:rFonts w:ascii="Helvetica" w:hAnsi="Helvetica"/>
        </w:rPr>
        <w:t>3</w:t>
      </w:r>
      <w:r w:rsidRPr="00272737">
        <w:rPr>
          <w:rStyle w:val="FootnoteReference"/>
          <w:rFonts w:ascii="Helvetica" w:hAnsi="Helvetica"/>
          <w:sz w:val="16"/>
          <w:szCs w:val="16"/>
        </w:rPr>
        <w:t xml:space="preserve"> Estimate of transactional and operational costs incurred by the investment option are based on the latest available information. These are current estimates that may change.</w:t>
      </w:r>
    </w:p>
    <w:p w14:paraId="00A78FBC" w14:textId="77777777" w:rsidR="005F5FF6" w:rsidRPr="00734192" w:rsidRDefault="005F5FF6" w:rsidP="00734192">
      <w:pPr>
        <w:pStyle w:val="FootnoteText"/>
        <w:rPr>
          <w:sz w:val="16"/>
          <w:szCs w:val="24"/>
        </w:rPr>
      </w:pPr>
    </w:p>
    <w:p w14:paraId="3E1188AC" w14:textId="27125B04" w:rsidR="00E27E5D" w:rsidRPr="00591645" w:rsidRDefault="00E27E5D" w:rsidP="00E27E5D">
      <w:pPr>
        <w:ind w:right="-75"/>
        <w:rPr>
          <w:rFonts w:ascii="Helvetica" w:hAnsi="Helvetica"/>
          <w:b/>
          <w:bCs/>
          <w:color w:val="2B41B1"/>
          <w:sz w:val="18"/>
          <w:szCs w:val="18"/>
        </w:rPr>
      </w:pPr>
      <w:r w:rsidRPr="00591645">
        <w:rPr>
          <w:rFonts w:ascii="Helvetica" w:hAnsi="Helvetica"/>
          <w:b/>
          <w:bCs/>
          <w:color w:val="2B41B1"/>
          <w:sz w:val="18"/>
          <w:szCs w:val="18"/>
        </w:rPr>
        <w:t xml:space="preserve">ABOUT THE </w:t>
      </w:r>
      <w:r w:rsidR="00421141">
        <w:rPr>
          <w:rFonts w:ascii="Helvetica" w:hAnsi="Helvetica"/>
          <w:b/>
          <w:bCs/>
          <w:color w:val="2B41B1"/>
          <w:sz w:val="18"/>
          <w:szCs w:val="18"/>
        </w:rPr>
        <w:t>YARRA ENHANCED INCOME FUND</w:t>
      </w:r>
    </w:p>
    <w:p w14:paraId="41B50FAB" w14:textId="77777777" w:rsidR="00E27E5D" w:rsidRPr="00301E8A" w:rsidRDefault="00E27E5D" w:rsidP="00E27E5D">
      <w:pPr>
        <w:ind w:right="-75"/>
        <w:rPr>
          <w:rFonts w:ascii="Helvetica" w:hAnsi="Helvetica"/>
          <w:b/>
          <w:bCs/>
          <w:color w:val="auto"/>
          <w:sz w:val="18"/>
          <w:szCs w:val="18"/>
        </w:rPr>
      </w:pPr>
      <w:r w:rsidRPr="00301E8A">
        <w:rPr>
          <w:rFonts w:ascii="Helvetica" w:hAnsi="Helvetica"/>
          <w:b/>
          <w:bCs/>
          <w:color w:val="auto"/>
          <w:sz w:val="18"/>
          <w:szCs w:val="18"/>
        </w:rPr>
        <w:t>What is the strategy?</w:t>
      </w:r>
    </w:p>
    <w:p w14:paraId="55886AFD" w14:textId="4B8D04D9" w:rsidR="00093B13" w:rsidRPr="00272737" w:rsidRDefault="00093B13" w:rsidP="00093B13">
      <w:pPr>
        <w:rPr>
          <w:rFonts w:ascii="Helvetica" w:hAnsi="Helvetica"/>
          <w:sz w:val="18"/>
          <w:szCs w:val="18"/>
        </w:rPr>
      </w:pPr>
      <w:r w:rsidRPr="00272737">
        <w:rPr>
          <w:rFonts w:ascii="Helvetica" w:hAnsi="Helvetica"/>
          <w:sz w:val="18"/>
          <w:szCs w:val="18"/>
        </w:rPr>
        <w:t>The Yarra Enhanced Income Fund is a</w:t>
      </w:r>
      <w:r w:rsidR="00327675" w:rsidRPr="00272737">
        <w:rPr>
          <w:rFonts w:ascii="Helvetica" w:hAnsi="Helvetica"/>
          <w:sz w:val="18"/>
          <w:szCs w:val="18"/>
        </w:rPr>
        <w:t>n</w:t>
      </w:r>
      <w:r w:rsidRPr="00272737">
        <w:rPr>
          <w:rFonts w:ascii="Helvetica" w:hAnsi="Helvetica"/>
          <w:sz w:val="18"/>
          <w:szCs w:val="18"/>
        </w:rPr>
        <w:t xml:space="preserve"> Australian based </w:t>
      </w:r>
      <w:r w:rsidR="00327675" w:rsidRPr="00272737">
        <w:rPr>
          <w:rFonts w:ascii="Helvetica" w:hAnsi="Helvetica"/>
          <w:sz w:val="18"/>
          <w:szCs w:val="18"/>
        </w:rPr>
        <w:t xml:space="preserve">diversified fixed interest </w:t>
      </w:r>
      <w:r w:rsidRPr="00272737">
        <w:rPr>
          <w:rFonts w:ascii="Helvetica" w:hAnsi="Helvetica"/>
          <w:sz w:val="18"/>
          <w:szCs w:val="18"/>
        </w:rPr>
        <w:t xml:space="preserve">strategy managed by Yarra Capital. </w:t>
      </w:r>
      <w:r w:rsidR="005F5FF6" w:rsidRPr="00272737">
        <w:rPr>
          <w:rFonts w:ascii="Helvetica" w:hAnsi="Helvetica"/>
          <w:sz w:val="18"/>
          <w:szCs w:val="18"/>
        </w:rPr>
        <w:t xml:space="preserve">The Fund offers investors access to typically 60 – 100 securities and can provide diversification to traditional asset classes. Holding a blend of high yielding fixed income and hybrid securities, provides the fund the opportunity to provide greater diversification, and thereby help reduce risk. </w:t>
      </w:r>
      <w:r w:rsidRPr="00272737">
        <w:rPr>
          <w:rFonts w:ascii="Helvetica" w:hAnsi="Helvetica"/>
          <w:sz w:val="18"/>
          <w:szCs w:val="18"/>
        </w:rPr>
        <w:t xml:space="preserve">The fund aims to provide a yield above the cash rate without taking on excessive credit risk. The strategy has </w:t>
      </w:r>
      <w:r w:rsidR="005F5FF6" w:rsidRPr="00272737">
        <w:rPr>
          <w:rFonts w:ascii="Helvetica" w:hAnsi="Helvetica"/>
          <w:sz w:val="18"/>
          <w:szCs w:val="18"/>
        </w:rPr>
        <w:t xml:space="preserve">delivered positive performance over the last 5 years, and </w:t>
      </w:r>
      <w:r w:rsidRPr="00272737">
        <w:rPr>
          <w:rFonts w:ascii="Helvetica" w:hAnsi="Helvetica"/>
          <w:sz w:val="18"/>
          <w:szCs w:val="18"/>
        </w:rPr>
        <w:t xml:space="preserve">features an </w:t>
      </w:r>
      <w:r w:rsidR="005F5FF6" w:rsidRPr="00272737">
        <w:rPr>
          <w:rFonts w:ascii="Helvetica" w:hAnsi="Helvetica"/>
          <w:sz w:val="18"/>
          <w:szCs w:val="18"/>
        </w:rPr>
        <w:t xml:space="preserve">investment grade </w:t>
      </w:r>
      <w:r w:rsidRPr="00272737">
        <w:rPr>
          <w:rFonts w:ascii="Helvetica" w:hAnsi="Helvetica"/>
          <w:sz w:val="18"/>
          <w:szCs w:val="18"/>
        </w:rPr>
        <w:t xml:space="preserve">asset profile whilst providing a running yield above 6%. </w:t>
      </w:r>
      <w:r w:rsidR="005F5FF6" w:rsidRPr="00272737">
        <w:rPr>
          <w:rFonts w:ascii="Helvetica" w:hAnsi="Helvetica"/>
          <w:sz w:val="18"/>
          <w:szCs w:val="18"/>
        </w:rPr>
        <w:t xml:space="preserve">The strategy is designed to delivers higher returns than traditional cash management and fixed income investments with minimal interest rate duration. </w:t>
      </w:r>
      <w:r w:rsidRPr="00272737">
        <w:rPr>
          <w:rFonts w:ascii="Helvetica" w:hAnsi="Helvetica"/>
          <w:sz w:val="18"/>
          <w:szCs w:val="18"/>
        </w:rPr>
        <w:t>The strategy features some exposure to interest rates with a duration of around 1.5 years</w:t>
      </w:r>
      <w:r w:rsidR="005F5FF6" w:rsidRPr="00272737">
        <w:rPr>
          <w:rFonts w:ascii="Helvetica" w:hAnsi="Helvetica"/>
          <w:sz w:val="18"/>
          <w:szCs w:val="18"/>
        </w:rPr>
        <w:t>,</w:t>
      </w:r>
      <w:r w:rsidRPr="00272737">
        <w:rPr>
          <w:rFonts w:ascii="Helvetica" w:hAnsi="Helvetica"/>
          <w:sz w:val="18"/>
          <w:szCs w:val="18"/>
        </w:rPr>
        <w:t xml:space="preserve"> </w:t>
      </w:r>
      <w:r w:rsidR="00327675" w:rsidRPr="00272737">
        <w:rPr>
          <w:rFonts w:ascii="Helvetica" w:hAnsi="Helvetica"/>
          <w:sz w:val="18"/>
          <w:szCs w:val="18"/>
        </w:rPr>
        <w:t xml:space="preserve">which </w:t>
      </w:r>
      <w:r w:rsidRPr="00272737">
        <w:rPr>
          <w:rFonts w:ascii="Helvetica" w:hAnsi="Helvetica"/>
          <w:sz w:val="18"/>
          <w:szCs w:val="18"/>
        </w:rPr>
        <w:t xml:space="preserve">is managed primarily through </w:t>
      </w:r>
      <w:r w:rsidR="00327675" w:rsidRPr="00272737">
        <w:rPr>
          <w:rFonts w:ascii="Helvetica" w:hAnsi="Helvetica"/>
          <w:sz w:val="18"/>
          <w:szCs w:val="18"/>
        </w:rPr>
        <w:t xml:space="preserve">the manager’s </w:t>
      </w:r>
      <w:r w:rsidRPr="00272737">
        <w:rPr>
          <w:rFonts w:ascii="Helvetica" w:hAnsi="Helvetica"/>
          <w:sz w:val="18"/>
          <w:szCs w:val="18"/>
        </w:rPr>
        <w:t>derivatives program.</w:t>
      </w:r>
    </w:p>
    <w:p w14:paraId="4254D77D" w14:textId="77777777" w:rsidR="00E27E5D" w:rsidRPr="00301E8A" w:rsidRDefault="00E27E5D" w:rsidP="00E27E5D">
      <w:pPr>
        <w:ind w:right="-75"/>
        <w:rPr>
          <w:rFonts w:ascii="Helvetica" w:hAnsi="Helvetica"/>
          <w:b/>
          <w:bCs/>
          <w:color w:val="auto"/>
          <w:sz w:val="18"/>
          <w:szCs w:val="18"/>
        </w:rPr>
      </w:pPr>
      <w:r w:rsidRPr="00301E8A">
        <w:rPr>
          <w:rFonts w:ascii="Helvetica" w:hAnsi="Helvetica"/>
          <w:b/>
          <w:bCs/>
          <w:color w:val="auto"/>
          <w:sz w:val="18"/>
          <w:szCs w:val="18"/>
        </w:rPr>
        <w:t>Who is it suitable for?</w:t>
      </w:r>
    </w:p>
    <w:p w14:paraId="74DBE3A8" w14:textId="77777777" w:rsidR="00093B13" w:rsidRPr="00272737" w:rsidRDefault="00093B13" w:rsidP="00093B13">
      <w:pPr>
        <w:rPr>
          <w:rFonts w:ascii="Helvetica" w:hAnsi="Helvetica"/>
          <w:sz w:val="18"/>
          <w:szCs w:val="18"/>
        </w:rPr>
      </w:pPr>
      <w:r w:rsidRPr="00272737">
        <w:rPr>
          <w:rFonts w:ascii="Helvetica" w:hAnsi="Helvetica"/>
          <w:sz w:val="18"/>
          <w:szCs w:val="18"/>
        </w:rPr>
        <w:t xml:space="preserve">The fund is suitable for investors wishing to gain a medium to long term exposure to the Australian credit market and low to moderate exposure to systemic risks such as interest rates. </w:t>
      </w:r>
    </w:p>
    <w:p w14:paraId="455600D0" w14:textId="77777777" w:rsidR="00E27E5D" w:rsidRPr="00301E8A" w:rsidRDefault="00E27E5D" w:rsidP="00E27E5D">
      <w:pPr>
        <w:ind w:right="-75"/>
        <w:rPr>
          <w:rFonts w:ascii="Helvetica" w:hAnsi="Helvetica"/>
          <w:b/>
          <w:bCs/>
          <w:color w:val="auto"/>
          <w:sz w:val="18"/>
          <w:szCs w:val="18"/>
        </w:rPr>
      </w:pPr>
      <w:r w:rsidRPr="00301E8A">
        <w:rPr>
          <w:rFonts w:ascii="Helvetica" w:hAnsi="Helvetica"/>
          <w:b/>
          <w:bCs/>
          <w:color w:val="auto"/>
          <w:sz w:val="18"/>
          <w:szCs w:val="18"/>
        </w:rPr>
        <w:t>About the manager</w:t>
      </w:r>
    </w:p>
    <w:p w14:paraId="2076989C" w14:textId="7BFFDB5C" w:rsidR="00456623" w:rsidRPr="00272737" w:rsidRDefault="00456623" w:rsidP="00456623">
      <w:pPr>
        <w:pStyle w:val="DVComment"/>
        <w:rPr>
          <w:rFonts w:ascii="Helvetica" w:hAnsi="Helvetica"/>
          <w:noProof w:val="0"/>
          <w:color w:val="252729"/>
          <w:sz w:val="18"/>
          <w:szCs w:val="18"/>
          <w:lang w:val="en-AU"/>
        </w:rPr>
      </w:pPr>
      <w:r w:rsidRPr="00272737">
        <w:rPr>
          <w:rFonts w:ascii="Helvetica" w:hAnsi="Helvetica"/>
          <w:noProof w:val="0"/>
          <w:color w:val="252729"/>
          <w:sz w:val="18"/>
          <w:szCs w:val="18"/>
          <w:lang w:val="en-AU"/>
        </w:rPr>
        <w:t>Yarra Capital Management (</w:t>
      </w:r>
      <w:r w:rsidR="00327675" w:rsidRPr="00272737">
        <w:rPr>
          <w:rFonts w:ascii="Helvetica" w:hAnsi="Helvetica"/>
          <w:noProof w:val="0"/>
          <w:color w:val="252729"/>
          <w:sz w:val="18"/>
          <w:szCs w:val="18"/>
          <w:lang w:val="en-AU"/>
        </w:rPr>
        <w:t>‘</w:t>
      </w:r>
      <w:r w:rsidRPr="00272737">
        <w:rPr>
          <w:rFonts w:ascii="Helvetica" w:hAnsi="Helvetica"/>
          <w:noProof w:val="0"/>
          <w:color w:val="252729"/>
          <w:sz w:val="18"/>
          <w:szCs w:val="18"/>
          <w:lang w:val="en-AU"/>
        </w:rPr>
        <w:t>YCM</w:t>
      </w:r>
      <w:r w:rsidR="00327675" w:rsidRPr="00272737">
        <w:rPr>
          <w:rFonts w:ascii="Helvetica" w:hAnsi="Helvetica"/>
          <w:noProof w:val="0"/>
          <w:color w:val="252729"/>
          <w:sz w:val="18"/>
          <w:szCs w:val="18"/>
          <w:lang w:val="en-AU"/>
        </w:rPr>
        <w:t>’</w:t>
      </w:r>
      <w:r w:rsidRPr="00272737">
        <w:rPr>
          <w:rFonts w:ascii="Helvetica" w:hAnsi="Helvetica"/>
          <w:noProof w:val="0"/>
          <w:color w:val="252729"/>
          <w:sz w:val="18"/>
          <w:szCs w:val="18"/>
          <w:lang w:val="en-AU"/>
        </w:rPr>
        <w:t>) was originally established in January 2017 following the management buyout of Goldman Sachs Asset Management’s Australian focused investment capabilities and operating platform. The management buyout was backed by TA Associates, a global growth private equity firm with a long history of investing in funds management companies. In 2021, YCM expanded its footprint through the acquisition of Nikko Asset Management’s Australian business, and as a result, becoming one of Australia’s largest independently owned active fund managers.</w:t>
      </w:r>
    </w:p>
    <w:p w14:paraId="00C95D4F" w14:textId="218F5328" w:rsidR="00456623" w:rsidRPr="00272737" w:rsidRDefault="00456623" w:rsidP="00456623">
      <w:pPr>
        <w:pStyle w:val="DVComment"/>
        <w:rPr>
          <w:rFonts w:ascii="Helvetica" w:hAnsi="Helvetica"/>
          <w:noProof w:val="0"/>
          <w:color w:val="252729"/>
          <w:sz w:val="18"/>
          <w:szCs w:val="18"/>
          <w:lang w:val="en-AU"/>
        </w:rPr>
      </w:pPr>
      <w:r w:rsidRPr="00272737">
        <w:rPr>
          <w:rFonts w:ascii="Helvetica" w:hAnsi="Helvetica"/>
          <w:noProof w:val="0"/>
          <w:color w:val="252729"/>
          <w:sz w:val="18"/>
          <w:szCs w:val="18"/>
          <w:lang w:val="en-AU"/>
        </w:rPr>
        <w:t>Today, YCM is one of Australia’s largest independently owned Australian funds management businesses. The manager’s investment teams are supported by a broad team of deeply experienced professionals across the manager’s Finance, IT, Human Resources, Legal Risk &amp; Compliance, Sales, Marketing, Distribution, and Investment Operations functions, led by Edward Eason (Managing Director) and the manager’s leadership team.</w:t>
      </w:r>
    </w:p>
    <w:p w14:paraId="6EBA907B" w14:textId="77777777" w:rsidR="00E27E5D" w:rsidRPr="00591645" w:rsidRDefault="00E27E5D" w:rsidP="00E27E5D">
      <w:pPr>
        <w:ind w:right="-75"/>
        <w:rPr>
          <w:rFonts w:ascii="Helvetica" w:hAnsi="Helvetica"/>
          <w:b/>
          <w:bCs/>
          <w:color w:val="2B41B1"/>
          <w:sz w:val="18"/>
          <w:szCs w:val="18"/>
        </w:rPr>
      </w:pPr>
      <w:r w:rsidRPr="00591645">
        <w:rPr>
          <w:rFonts w:ascii="Helvetica" w:hAnsi="Helvetica"/>
          <w:b/>
          <w:bCs/>
          <w:color w:val="2B41B1"/>
          <w:sz w:val="18"/>
          <w:szCs w:val="18"/>
        </w:rPr>
        <w:t>RECOMMENDATION</w:t>
      </w:r>
    </w:p>
    <w:p w14:paraId="0645A171" w14:textId="3C1F4403" w:rsidR="00BE6FA9" w:rsidRPr="00272737" w:rsidRDefault="00E27E5D" w:rsidP="00272737">
      <w:pPr>
        <w:pStyle w:val="DVComment"/>
        <w:rPr>
          <w:rFonts w:ascii="Helvetica" w:hAnsi="Helvetica"/>
          <w:noProof w:val="0"/>
          <w:color w:val="252729"/>
          <w:sz w:val="18"/>
          <w:szCs w:val="18"/>
          <w:lang w:val="en-AU"/>
        </w:rPr>
      </w:pPr>
      <w:r w:rsidRPr="00272737">
        <w:rPr>
          <w:rFonts w:ascii="Helvetica" w:hAnsi="Helvetica"/>
          <w:noProof w:val="0"/>
          <w:color w:val="252729"/>
          <w:sz w:val="18"/>
          <w:szCs w:val="18"/>
          <w:lang w:val="en-AU"/>
        </w:rPr>
        <w:t xml:space="preserve">I have recommended including the </w:t>
      </w:r>
      <w:r w:rsidR="00ED41DB" w:rsidRPr="00272737">
        <w:rPr>
          <w:rFonts w:ascii="Helvetica" w:hAnsi="Helvetica"/>
          <w:noProof w:val="0"/>
          <w:color w:val="252729"/>
          <w:sz w:val="18"/>
          <w:szCs w:val="18"/>
          <w:lang w:val="en-AU"/>
        </w:rPr>
        <w:t>Yarra Enhanced Income Fund</w:t>
      </w:r>
      <w:r w:rsidR="0031338F" w:rsidRPr="00272737">
        <w:rPr>
          <w:rFonts w:ascii="Helvetica" w:hAnsi="Helvetica"/>
          <w:noProof w:val="0"/>
          <w:color w:val="252729"/>
          <w:sz w:val="18"/>
          <w:szCs w:val="18"/>
          <w:lang w:val="en-AU"/>
        </w:rPr>
        <w:t xml:space="preserve"> </w:t>
      </w:r>
      <w:r w:rsidRPr="00272737">
        <w:rPr>
          <w:rFonts w:ascii="Helvetica" w:hAnsi="Helvetica"/>
          <w:noProof w:val="0"/>
          <w:color w:val="252729"/>
          <w:sz w:val="18"/>
          <w:szCs w:val="18"/>
          <w:lang w:val="en-AU"/>
        </w:rPr>
        <w:t xml:space="preserve">in your investment bond portfolio which Generation Life will be using as a replacement for the </w:t>
      </w:r>
      <w:r w:rsidR="00ED41DB" w:rsidRPr="00272737">
        <w:rPr>
          <w:rFonts w:ascii="Helvetica" w:hAnsi="Helvetica"/>
          <w:noProof w:val="0"/>
          <w:color w:val="252729"/>
          <w:sz w:val="18"/>
          <w:szCs w:val="18"/>
          <w:lang w:val="en-AU"/>
        </w:rPr>
        <w:t>Pendal Enhanced Credit Fund</w:t>
      </w:r>
      <w:r w:rsidR="00FE0DF1" w:rsidRPr="00272737">
        <w:rPr>
          <w:rFonts w:ascii="Helvetica" w:hAnsi="Helvetica"/>
          <w:noProof w:val="0"/>
          <w:color w:val="252729"/>
          <w:sz w:val="18"/>
          <w:szCs w:val="18"/>
          <w:lang w:val="en-AU"/>
        </w:rPr>
        <w:t xml:space="preserve"> strategy</w:t>
      </w:r>
      <w:r w:rsidRPr="00272737">
        <w:rPr>
          <w:rFonts w:ascii="Helvetica" w:hAnsi="Helvetica"/>
          <w:noProof w:val="0"/>
          <w:color w:val="252729"/>
          <w:sz w:val="18"/>
          <w:szCs w:val="18"/>
          <w:lang w:val="en-AU"/>
        </w:rPr>
        <w:t>.</w:t>
      </w:r>
      <w:bookmarkEnd w:id="0"/>
      <w:r w:rsidRPr="00272737">
        <w:rPr>
          <w:rFonts w:ascii="Helvetica" w:hAnsi="Helvetica"/>
          <w:noProof w:val="0"/>
          <w:color w:val="252729"/>
          <w:sz w:val="18"/>
          <w:szCs w:val="18"/>
          <w:lang w:val="en-AU"/>
        </w:rPr>
        <w:t> </w:t>
      </w:r>
    </w:p>
    <w:bookmarkEnd w:id="1"/>
    <w:p w14:paraId="210EFBDA" w14:textId="77777777" w:rsidR="00BE6FA9" w:rsidRPr="00793596" w:rsidRDefault="00BE6FA9">
      <w:pPr>
        <w:spacing w:after="0" w:line="240" w:lineRule="auto"/>
        <w:rPr>
          <w:rFonts w:ascii="Helvetica" w:hAnsi="Helvetica"/>
          <w:sz w:val="18"/>
          <w:szCs w:val="18"/>
        </w:rPr>
      </w:pPr>
      <w:r w:rsidRPr="00793596">
        <w:rPr>
          <w:rFonts w:ascii="Helvetica" w:hAnsi="Helvetica"/>
          <w:sz w:val="18"/>
          <w:szCs w:val="18"/>
        </w:rPr>
        <w:br w:type="page"/>
      </w:r>
    </w:p>
    <w:p w14:paraId="1A957E59" w14:textId="357CB9A7" w:rsidR="00BA1D9F" w:rsidRPr="00263B2F" w:rsidRDefault="00B538D1" w:rsidP="003D1DDC">
      <w:pPr>
        <w:spacing w:before="120" w:after="0"/>
        <w:rPr>
          <w:rFonts w:ascii="Helvetica" w:hAnsi="Helvetica" w:cs="Arial"/>
          <w:b/>
          <w:bCs/>
          <w:color w:val="auto"/>
          <w:sz w:val="28"/>
          <w:szCs w:val="28"/>
        </w:rPr>
      </w:pPr>
      <w:r w:rsidRPr="00793596">
        <w:rPr>
          <w:rFonts w:ascii="Helvetica" w:eastAsiaTheme="majorEastAsia" w:hAnsi="Helvetica" w:cstheme="majorBidi"/>
          <w:color w:val="5E5D5D"/>
          <w:sz w:val="32"/>
          <w:szCs w:val="32"/>
        </w:rPr>
        <w:lastRenderedPageBreak/>
        <w:br/>
      </w:r>
      <w:r w:rsidR="00BA1D9F" w:rsidRPr="00263B2F">
        <w:rPr>
          <w:rFonts w:ascii="Helvetica" w:hAnsi="Helvetica" w:cs="Arial"/>
          <w:b/>
          <w:bCs/>
          <w:color w:val="auto"/>
          <w:sz w:val="28"/>
          <w:szCs w:val="28"/>
        </w:rPr>
        <w:t>Important information</w:t>
      </w:r>
    </w:p>
    <w:p w14:paraId="0F2E1B80" w14:textId="77777777" w:rsidR="003D61F5" w:rsidRPr="00272737" w:rsidRDefault="003D61F5" w:rsidP="00734192">
      <w:pPr>
        <w:rPr>
          <w:rFonts w:ascii="Helvetica" w:hAnsi="Helvetica"/>
          <w:sz w:val="18"/>
          <w:szCs w:val="18"/>
        </w:rPr>
      </w:pPr>
      <w:r w:rsidRPr="00272737">
        <w:rPr>
          <w:rFonts w:ascii="Helvetica" w:hAnsi="Helvetica"/>
          <w:sz w:val="18"/>
          <w:szCs w:val="18"/>
        </w:rPr>
        <w:t>The product description and sample wording above have been prepared by Generation Life Limited (‘Generation Life’) ABN 68 092 843 902 AFSL 225408 as a guide only to assist you in developing your own Statement of Advice (</w:t>
      </w:r>
      <w:proofErr w:type="spellStart"/>
      <w:r w:rsidRPr="00272737">
        <w:rPr>
          <w:rFonts w:ascii="Helvetica" w:hAnsi="Helvetica"/>
          <w:sz w:val="18"/>
          <w:szCs w:val="18"/>
        </w:rPr>
        <w:t>SoA</w:t>
      </w:r>
      <w:proofErr w:type="spellEnd"/>
      <w:r w:rsidRPr="00272737">
        <w:rPr>
          <w:rFonts w:ascii="Helvetica" w:hAnsi="Helvetica"/>
          <w:sz w:val="18"/>
          <w:szCs w:val="18"/>
        </w:rPr>
        <w:t>) or Record of Advice (</w:t>
      </w:r>
      <w:proofErr w:type="spellStart"/>
      <w:r w:rsidRPr="00272737">
        <w:rPr>
          <w:rFonts w:ascii="Helvetica" w:hAnsi="Helvetica"/>
          <w:sz w:val="18"/>
          <w:szCs w:val="18"/>
        </w:rPr>
        <w:t>RoA</w:t>
      </w:r>
      <w:proofErr w:type="spellEnd"/>
      <w:r w:rsidRPr="00272737">
        <w:rPr>
          <w:rFonts w:ascii="Helvetica" w:hAnsi="Helvetica"/>
          <w:sz w:val="18"/>
          <w:szCs w:val="18"/>
        </w:rPr>
        <w:t xml:space="preserve">) when providing advice about Generation Life investment bond products to your clients. </w:t>
      </w:r>
    </w:p>
    <w:p w14:paraId="76E1BBB0" w14:textId="77777777" w:rsidR="003D61F5" w:rsidRPr="00272737" w:rsidRDefault="003D61F5" w:rsidP="00734192">
      <w:pPr>
        <w:rPr>
          <w:rFonts w:ascii="Helvetica" w:hAnsi="Helvetica"/>
          <w:sz w:val="18"/>
          <w:szCs w:val="18"/>
        </w:rPr>
      </w:pPr>
      <w:r w:rsidRPr="00272737">
        <w:rPr>
          <w:rFonts w:ascii="Helvetica" w:hAnsi="Helvetica"/>
          <w:sz w:val="18"/>
          <w:szCs w:val="18"/>
        </w:rPr>
        <w:t xml:space="preserve">This information may not be considered complete as it does not consider your clients’ personal situation, needs or objectives – it is your responsibility to consider these aspects when formulating the </w:t>
      </w:r>
      <w:proofErr w:type="spellStart"/>
      <w:r w:rsidRPr="00272737">
        <w:rPr>
          <w:rFonts w:ascii="Helvetica" w:hAnsi="Helvetica"/>
          <w:sz w:val="18"/>
          <w:szCs w:val="18"/>
        </w:rPr>
        <w:t>SoA</w:t>
      </w:r>
      <w:proofErr w:type="spellEnd"/>
      <w:r w:rsidRPr="00272737">
        <w:rPr>
          <w:rFonts w:ascii="Helvetica" w:hAnsi="Helvetica"/>
          <w:sz w:val="18"/>
          <w:szCs w:val="18"/>
        </w:rPr>
        <w:t xml:space="preserve"> or </w:t>
      </w:r>
      <w:proofErr w:type="spellStart"/>
      <w:r w:rsidRPr="00272737">
        <w:rPr>
          <w:rFonts w:ascii="Helvetica" w:hAnsi="Helvetica"/>
          <w:sz w:val="18"/>
          <w:szCs w:val="18"/>
        </w:rPr>
        <w:t>RoA</w:t>
      </w:r>
      <w:proofErr w:type="spellEnd"/>
      <w:r w:rsidRPr="00272737">
        <w:rPr>
          <w:rFonts w:ascii="Helvetica" w:hAnsi="Helvetica"/>
          <w:sz w:val="18"/>
          <w:szCs w:val="18"/>
        </w:rPr>
        <w:t xml:space="preserve"> for your clients. Before making an </w:t>
      </w:r>
      <w:proofErr w:type="gramStart"/>
      <w:r w:rsidRPr="00272737">
        <w:rPr>
          <w:rFonts w:ascii="Helvetica" w:hAnsi="Helvetica"/>
          <w:sz w:val="18"/>
          <w:szCs w:val="18"/>
        </w:rPr>
        <w:t>investment</w:t>
      </w:r>
      <w:proofErr w:type="gramEnd"/>
      <w:r w:rsidRPr="00272737">
        <w:rPr>
          <w:rFonts w:ascii="Helvetica" w:hAnsi="Helvetica"/>
          <w:sz w:val="18"/>
          <w:szCs w:val="18"/>
        </w:rPr>
        <w:t xml:space="preserve"> decision or tendering of advice based on anything in this document, you need to consider whether any general advice in this document is appropriate to the particular investment needs, objectives and financial situation of the person(s) making the investment and/or receiving the advice. </w:t>
      </w:r>
    </w:p>
    <w:p w14:paraId="4CEA4600" w14:textId="77777777" w:rsidR="003D61F5" w:rsidRPr="00272737" w:rsidRDefault="003D61F5" w:rsidP="00734192">
      <w:pPr>
        <w:rPr>
          <w:rFonts w:ascii="Helvetica" w:hAnsi="Helvetica"/>
          <w:sz w:val="18"/>
          <w:szCs w:val="18"/>
        </w:rPr>
      </w:pPr>
      <w:r w:rsidRPr="00272737">
        <w:rPr>
          <w:rFonts w:ascii="Helvetica" w:hAnsi="Helvetica"/>
          <w:sz w:val="18"/>
          <w:szCs w:val="18"/>
        </w:rPr>
        <w:t xml:space="preserve">This document may contain general advice in relation to financial products. Generation Life is not authorised to provide personal advice and accordingly has not considered any individual person’s financial situation, needs or objectives. Generation Life is not responsible for any personal advice you provide, even if it is based on this document. </w:t>
      </w:r>
    </w:p>
    <w:p w14:paraId="528C399A" w14:textId="77777777" w:rsidR="003D61F5" w:rsidRPr="00272737" w:rsidRDefault="003D61F5" w:rsidP="00734192">
      <w:pPr>
        <w:rPr>
          <w:rFonts w:ascii="Helvetica" w:hAnsi="Helvetica"/>
          <w:sz w:val="18"/>
          <w:szCs w:val="18"/>
        </w:rPr>
      </w:pPr>
      <w:r w:rsidRPr="00272737">
        <w:rPr>
          <w:rFonts w:ascii="Helvetica" w:hAnsi="Helvetica"/>
          <w:sz w:val="18"/>
          <w:szCs w:val="18"/>
        </w:rPr>
        <w:t xml:space="preserve">It is important to note that some product features may not be fully explained, some words or phrases have a specific meaning and rules may apply to the availability of certain features and options. For these reasons, this </w:t>
      </w:r>
      <w:proofErr w:type="spellStart"/>
      <w:r w:rsidRPr="00272737">
        <w:rPr>
          <w:rFonts w:ascii="Helvetica" w:hAnsi="Helvetica"/>
          <w:sz w:val="18"/>
          <w:szCs w:val="18"/>
        </w:rPr>
        <w:t>SoA</w:t>
      </w:r>
      <w:proofErr w:type="spellEnd"/>
      <w:r w:rsidRPr="00272737">
        <w:rPr>
          <w:rFonts w:ascii="Helvetica" w:hAnsi="Helvetica"/>
          <w:sz w:val="18"/>
          <w:szCs w:val="18"/>
        </w:rPr>
        <w:t xml:space="preserve"> or </w:t>
      </w:r>
      <w:proofErr w:type="spellStart"/>
      <w:r w:rsidRPr="00272737">
        <w:rPr>
          <w:rFonts w:ascii="Helvetica" w:hAnsi="Helvetica"/>
          <w:sz w:val="18"/>
          <w:szCs w:val="18"/>
        </w:rPr>
        <w:t>RoA</w:t>
      </w:r>
      <w:proofErr w:type="spellEnd"/>
      <w:r w:rsidRPr="00272737">
        <w:rPr>
          <w:rFonts w:ascii="Helvetica" w:hAnsi="Helvetica"/>
          <w:sz w:val="18"/>
          <w:szCs w:val="18"/>
        </w:rPr>
        <w:t xml:space="preserve"> should be used in conjunction with the terms and conditions set out in the Generation Life Investment Bonds Product Disclosure Statement (PDS). </w:t>
      </w:r>
    </w:p>
    <w:p w14:paraId="688AAD59" w14:textId="6858322C" w:rsidR="003D61F5" w:rsidRPr="00272737" w:rsidRDefault="003D61F5" w:rsidP="00734192">
      <w:pPr>
        <w:rPr>
          <w:rFonts w:ascii="Helvetica" w:hAnsi="Helvetica"/>
          <w:sz w:val="18"/>
          <w:szCs w:val="18"/>
        </w:rPr>
      </w:pPr>
      <w:r w:rsidRPr="00272737">
        <w:rPr>
          <w:rFonts w:ascii="Helvetica" w:hAnsi="Helvetica"/>
          <w:sz w:val="18"/>
          <w:szCs w:val="18"/>
        </w:rPr>
        <w:t xml:space="preserve">Should you choose to use all or part of this template to fit with your </w:t>
      </w:r>
      <w:proofErr w:type="spellStart"/>
      <w:r w:rsidRPr="00272737">
        <w:rPr>
          <w:rFonts w:ascii="Helvetica" w:hAnsi="Helvetica"/>
          <w:sz w:val="18"/>
          <w:szCs w:val="18"/>
        </w:rPr>
        <w:t>SoA</w:t>
      </w:r>
      <w:proofErr w:type="spellEnd"/>
      <w:r w:rsidRPr="00272737">
        <w:rPr>
          <w:rFonts w:ascii="Helvetica" w:hAnsi="Helvetica"/>
          <w:sz w:val="18"/>
          <w:szCs w:val="18"/>
        </w:rPr>
        <w:t xml:space="preserve"> or </w:t>
      </w:r>
      <w:proofErr w:type="spellStart"/>
      <w:r w:rsidRPr="00272737">
        <w:rPr>
          <w:rFonts w:ascii="Helvetica" w:hAnsi="Helvetica"/>
          <w:sz w:val="18"/>
          <w:szCs w:val="18"/>
        </w:rPr>
        <w:t>RoA</w:t>
      </w:r>
      <w:proofErr w:type="spellEnd"/>
      <w:r w:rsidRPr="00272737">
        <w:rPr>
          <w:rFonts w:ascii="Helvetica" w:hAnsi="Helvetica"/>
          <w:sz w:val="18"/>
          <w:szCs w:val="18"/>
        </w:rPr>
        <w:t xml:space="preserve">, this is at your discretion. The law applying to SOAs and </w:t>
      </w:r>
      <w:proofErr w:type="spellStart"/>
      <w:r w:rsidRPr="00272737">
        <w:rPr>
          <w:rFonts w:ascii="Helvetica" w:hAnsi="Helvetica"/>
          <w:sz w:val="18"/>
          <w:szCs w:val="18"/>
        </w:rPr>
        <w:t>RoAs</w:t>
      </w:r>
      <w:proofErr w:type="spellEnd"/>
      <w:r w:rsidRPr="00272737">
        <w:rPr>
          <w:rFonts w:ascii="Helvetica" w:hAnsi="Helvetica"/>
          <w:sz w:val="18"/>
          <w:szCs w:val="18"/>
        </w:rPr>
        <w:t xml:space="preserve"> is subject to amendment and reinterpretation at any time. This document is based on information from the PDS.</w:t>
      </w:r>
    </w:p>
    <w:p w14:paraId="2B291875" w14:textId="77777777" w:rsidR="003D61F5" w:rsidRPr="00272737" w:rsidRDefault="003D61F5" w:rsidP="00734192">
      <w:pPr>
        <w:rPr>
          <w:rFonts w:ascii="Helvetica" w:hAnsi="Helvetica"/>
          <w:sz w:val="18"/>
          <w:szCs w:val="18"/>
        </w:rPr>
      </w:pPr>
      <w:r w:rsidRPr="00272737">
        <w:rPr>
          <w:rFonts w:ascii="Helvetica" w:hAnsi="Helvetica"/>
          <w:sz w:val="18"/>
          <w:szCs w:val="18"/>
        </w:rPr>
        <w:t>The document contains references to financial products issued by Generation Life in its capacity as a life insurance company under the Life Insurance Act 1995 and as the issuer of the interests in Generation Life Investment Bonds. This document does not constitute an offer of interests in the Investment Bonds. Such offers will only be made in a copy of the PDS and anyone wishing to acquire interests in the Investment Bonds will need to complete the application form accompanying the PDS.</w:t>
      </w:r>
    </w:p>
    <w:p w14:paraId="629C1446" w14:textId="0A4318F1" w:rsidR="003D61F5" w:rsidRPr="00272737" w:rsidRDefault="003D61F5" w:rsidP="00734192">
      <w:pPr>
        <w:rPr>
          <w:rFonts w:ascii="Helvetica" w:hAnsi="Helvetica"/>
          <w:sz w:val="18"/>
          <w:szCs w:val="18"/>
        </w:rPr>
      </w:pPr>
      <w:r w:rsidRPr="00272737">
        <w:rPr>
          <w:rFonts w:ascii="Helvetica" w:hAnsi="Helvetica"/>
          <w:sz w:val="18"/>
          <w:szCs w:val="18"/>
        </w:rPr>
        <w:t>Generation Life believes that any advice and information in this document is accurate and reliable, but no warranties of accuracy, reliability or completeness are given (except insofar as liability under any statute cannot be excluded). No responsibility for any errors or omissions or any negligence is accepted by Generation Life or any of its directors, employees</w:t>
      </w:r>
      <w:r w:rsidR="00591645" w:rsidRPr="00272737">
        <w:rPr>
          <w:rFonts w:ascii="Helvetica" w:hAnsi="Helvetica"/>
          <w:sz w:val="18"/>
          <w:szCs w:val="18"/>
        </w:rPr>
        <w:t>,</w:t>
      </w:r>
      <w:r w:rsidRPr="00272737">
        <w:rPr>
          <w:rFonts w:ascii="Helvetica" w:hAnsi="Helvetica"/>
          <w:sz w:val="18"/>
          <w:szCs w:val="18"/>
        </w:rPr>
        <w:t xml:space="preserve"> or agents.</w:t>
      </w:r>
    </w:p>
    <w:p w14:paraId="003EBC92" w14:textId="77777777" w:rsidR="00E27E5D" w:rsidRPr="00734192" w:rsidRDefault="00E27E5D" w:rsidP="00734192"/>
    <w:p w14:paraId="59549971" w14:textId="689DE040" w:rsidR="001611CE" w:rsidRPr="00734192" w:rsidRDefault="001611CE" w:rsidP="00BB1C74"/>
    <w:p w14:paraId="0BB0F07D" w14:textId="502A0E40" w:rsidR="00A7221D" w:rsidRPr="00734192" w:rsidRDefault="00A7221D" w:rsidP="00BB1C74"/>
    <w:p w14:paraId="78718417" w14:textId="54C9DC2E" w:rsidR="00A7221D" w:rsidRPr="00734192" w:rsidRDefault="00A7221D" w:rsidP="00BB1C74"/>
    <w:p w14:paraId="5F10BA49" w14:textId="77777777" w:rsidR="00A7221D" w:rsidRPr="00734192" w:rsidRDefault="00A7221D" w:rsidP="00BB1C74"/>
    <w:p w14:paraId="6260EB24" w14:textId="3B29BC1D" w:rsidR="00BE6FA9" w:rsidRPr="00734192" w:rsidRDefault="00BE6FA9" w:rsidP="00BB1C74"/>
    <w:p w14:paraId="4B227DED" w14:textId="0545BB54" w:rsidR="00BE6FA9" w:rsidRPr="00734192" w:rsidRDefault="00BE6FA9" w:rsidP="00BB1C74"/>
    <w:p w14:paraId="5F302AE7" w14:textId="55EAD242" w:rsidR="00BE6FA9" w:rsidRPr="00734192" w:rsidRDefault="00BE6FA9" w:rsidP="00BB1C74"/>
    <w:p w14:paraId="2C910EDC" w14:textId="53F3E271" w:rsidR="00BE6FA9" w:rsidRPr="00734192" w:rsidRDefault="00BE6FA9" w:rsidP="00BB1C74"/>
    <w:p w14:paraId="08B6B406" w14:textId="346CE8C6" w:rsidR="003D61F5" w:rsidRPr="00734192" w:rsidRDefault="003D61F5" w:rsidP="00BB1C74"/>
    <w:p w14:paraId="4FEAB810" w14:textId="77777777" w:rsidR="00BE6FA9" w:rsidRDefault="00BE6FA9" w:rsidP="00BB1C74"/>
    <w:p w14:paraId="165C1901" w14:textId="77777777" w:rsidR="00327675" w:rsidRDefault="00327675" w:rsidP="00BB1C74"/>
    <w:p w14:paraId="6CC85136" w14:textId="77777777" w:rsidR="00327675" w:rsidRDefault="00327675" w:rsidP="00BB1C74"/>
    <w:p w14:paraId="49BBC01D" w14:textId="77777777" w:rsidR="00327675" w:rsidRPr="00734192" w:rsidRDefault="00327675" w:rsidP="00BB1C74"/>
    <w:tbl>
      <w:tblPr>
        <w:tblStyle w:val="TableGrid"/>
        <w:tblpPr w:leftFromText="180" w:rightFromText="180" w:vertAnchor="text" w:horzAnchor="margin" w:tblpY="195"/>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57" w:type="dxa"/>
        </w:tblCellMar>
        <w:tblLook w:val="04A0" w:firstRow="1" w:lastRow="0" w:firstColumn="1" w:lastColumn="0" w:noHBand="0" w:noVBand="1"/>
      </w:tblPr>
      <w:tblGrid>
        <w:gridCol w:w="1696"/>
        <w:gridCol w:w="3261"/>
        <w:gridCol w:w="1701"/>
        <w:gridCol w:w="3543"/>
      </w:tblGrid>
      <w:tr w:rsidR="00E96EC1" w:rsidRPr="00793596" w14:paraId="486C2B0A" w14:textId="77777777" w:rsidTr="00E96EC1">
        <w:tc>
          <w:tcPr>
            <w:tcW w:w="1696" w:type="dxa"/>
            <w:tcBorders>
              <w:top w:val="single" w:sz="2" w:space="0" w:color="A3A3A3"/>
            </w:tcBorders>
          </w:tcPr>
          <w:p w14:paraId="4EBE72CA" w14:textId="0E69F76C" w:rsidR="00E96EC1" w:rsidRPr="00793596" w:rsidRDefault="00BB4208" w:rsidP="00E96EC1">
            <w:pPr>
              <w:pStyle w:val="TableHeading"/>
              <w:rPr>
                <w:rFonts w:ascii="Helvetica" w:hAnsi="Helvetica"/>
                <w:sz w:val="18"/>
                <w:szCs w:val="18"/>
              </w:rPr>
            </w:pPr>
            <w:r w:rsidRPr="00793596">
              <w:rPr>
                <w:rFonts w:ascii="Helvetica" w:hAnsi="Helvetica"/>
                <w:sz w:val="18"/>
                <w:szCs w:val="18"/>
              </w:rPr>
              <w:lastRenderedPageBreak/>
              <w:t>Contact us</w:t>
            </w:r>
          </w:p>
        </w:tc>
        <w:tc>
          <w:tcPr>
            <w:tcW w:w="3261" w:type="dxa"/>
            <w:tcBorders>
              <w:top w:val="single" w:sz="2" w:space="0" w:color="A3A3A3"/>
            </w:tcBorders>
          </w:tcPr>
          <w:p w14:paraId="7B469E80" w14:textId="77777777" w:rsidR="00E96EC1" w:rsidRPr="00793596" w:rsidRDefault="00E96EC1" w:rsidP="00E96EC1">
            <w:pPr>
              <w:pStyle w:val="TableHeading"/>
              <w:rPr>
                <w:rFonts w:ascii="Helvetica" w:hAnsi="Helvetica"/>
                <w:sz w:val="18"/>
                <w:szCs w:val="18"/>
              </w:rPr>
            </w:pPr>
          </w:p>
        </w:tc>
        <w:tc>
          <w:tcPr>
            <w:tcW w:w="1701" w:type="dxa"/>
            <w:tcBorders>
              <w:top w:val="single" w:sz="2" w:space="0" w:color="A3A3A3"/>
            </w:tcBorders>
          </w:tcPr>
          <w:p w14:paraId="5F3B7CA6" w14:textId="52815400" w:rsidR="00E96EC1" w:rsidRPr="00793596" w:rsidRDefault="00E96EC1" w:rsidP="00E96EC1">
            <w:pPr>
              <w:pStyle w:val="TableHeading"/>
              <w:rPr>
                <w:rFonts w:ascii="Helvetica" w:hAnsi="Helvetica"/>
                <w:sz w:val="18"/>
                <w:szCs w:val="18"/>
              </w:rPr>
            </w:pPr>
          </w:p>
        </w:tc>
        <w:tc>
          <w:tcPr>
            <w:tcW w:w="3543" w:type="dxa"/>
            <w:tcBorders>
              <w:top w:val="single" w:sz="2" w:space="0" w:color="A3A3A3"/>
            </w:tcBorders>
          </w:tcPr>
          <w:p w14:paraId="0829D8BB" w14:textId="77777777" w:rsidR="00E96EC1" w:rsidRPr="00793596" w:rsidRDefault="00E96EC1" w:rsidP="00E96EC1">
            <w:pPr>
              <w:pStyle w:val="TableHeading"/>
              <w:rPr>
                <w:rFonts w:ascii="Helvetica" w:hAnsi="Helvetica"/>
                <w:sz w:val="18"/>
                <w:szCs w:val="18"/>
              </w:rPr>
            </w:pPr>
          </w:p>
        </w:tc>
      </w:tr>
      <w:tr w:rsidR="00E96EC1" w:rsidRPr="00A7221D" w14:paraId="1238982B" w14:textId="77777777" w:rsidTr="00E96EC1">
        <w:tc>
          <w:tcPr>
            <w:tcW w:w="1696" w:type="dxa"/>
          </w:tcPr>
          <w:p w14:paraId="3ED9411A" w14:textId="77777777" w:rsidR="00E96EC1" w:rsidRPr="00793596" w:rsidRDefault="00E96EC1" w:rsidP="00E96EC1">
            <w:pPr>
              <w:pStyle w:val="TableHeading2"/>
              <w:rPr>
                <w:rFonts w:ascii="Helvetica" w:hAnsi="Helvetica"/>
                <w:sz w:val="18"/>
                <w:szCs w:val="18"/>
              </w:rPr>
            </w:pPr>
            <w:r w:rsidRPr="00793596">
              <w:rPr>
                <w:rFonts w:ascii="Helvetica" w:hAnsi="Helvetica"/>
                <w:sz w:val="18"/>
                <w:szCs w:val="18"/>
              </w:rPr>
              <w:t xml:space="preserve">Phone </w:t>
            </w:r>
          </w:p>
          <w:p w14:paraId="78BC05CE" w14:textId="2FA354A5" w:rsidR="00BB4208" w:rsidRPr="00793596" w:rsidRDefault="00BB4208" w:rsidP="00E96EC1">
            <w:pPr>
              <w:pStyle w:val="TableHeading2"/>
              <w:rPr>
                <w:rFonts w:ascii="Helvetica" w:hAnsi="Helvetica"/>
                <w:sz w:val="18"/>
                <w:szCs w:val="18"/>
              </w:rPr>
            </w:pPr>
            <w:r w:rsidRPr="00793596">
              <w:rPr>
                <w:rFonts w:ascii="Helvetica" w:hAnsi="Helvetica"/>
                <w:sz w:val="18"/>
                <w:szCs w:val="18"/>
              </w:rPr>
              <w:t>Email</w:t>
            </w:r>
          </w:p>
        </w:tc>
        <w:tc>
          <w:tcPr>
            <w:tcW w:w="3261" w:type="dxa"/>
          </w:tcPr>
          <w:p w14:paraId="28CC40A8" w14:textId="1931D73F" w:rsidR="00E96EC1" w:rsidRPr="00793596" w:rsidRDefault="00E96EC1" w:rsidP="00A7221D">
            <w:pPr>
              <w:pStyle w:val="TableHeading2"/>
              <w:rPr>
                <w:rFonts w:ascii="Helvetica" w:hAnsi="Helvetica"/>
                <w:sz w:val="18"/>
                <w:szCs w:val="18"/>
              </w:rPr>
            </w:pPr>
            <w:r w:rsidRPr="00793596">
              <w:rPr>
                <w:rFonts w:ascii="Helvetica" w:hAnsi="Helvetica"/>
                <w:sz w:val="18"/>
                <w:szCs w:val="18"/>
              </w:rPr>
              <w:t xml:space="preserve">1800 </w:t>
            </w:r>
            <w:r w:rsidR="00591645">
              <w:rPr>
                <w:rFonts w:ascii="Helvetica" w:hAnsi="Helvetica"/>
                <w:sz w:val="18"/>
                <w:szCs w:val="18"/>
              </w:rPr>
              <w:t>333 657</w:t>
            </w:r>
          </w:p>
          <w:p w14:paraId="6037B49B" w14:textId="5BEE7803" w:rsidR="00BB4208" w:rsidRPr="00793596" w:rsidRDefault="00BB4208" w:rsidP="00A7221D">
            <w:pPr>
              <w:pStyle w:val="TableHeading2"/>
              <w:rPr>
                <w:rFonts w:ascii="Helvetica" w:hAnsi="Helvetica"/>
                <w:sz w:val="18"/>
                <w:szCs w:val="18"/>
              </w:rPr>
            </w:pPr>
            <w:r w:rsidRPr="00793596">
              <w:rPr>
                <w:rFonts w:ascii="Helvetica" w:hAnsi="Helvetica"/>
                <w:sz w:val="18"/>
                <w:szCs w:val="18"/>
              </w:rPr>
              <w:t>enquiry@genlife.com.au</w:t>
            </w:r>
          </w:p>
        </w:tc>
        <w:tc>
          <w:tcPr>
            <w:tcW w:w="1701" w:type="dxa"/>
          </w:tcPr>
          <w:p w14:paraId="5418996A" w14:textId="2F369687" w:rsidR="00E96EC1" w:rsidRPr="00793596" w:rsidRDefault="00BB4208" w:rsidP="00E96EC1">
            <w:pPr>
              <w:pStyle w:val="TableHeading2"/>
              <w:rPr>
                <w:rFonts w:ascii="Helvetica" w:hAnsi="Helvetica"/>
                <w:sz w:val="18"/>
                <w:szCs w:val="18"/>
              </w:rPr>
            </w:pPr>
            <w:r w:rsidRPr="00793596">
              <w:rPr>
                <w:rFonts w:ascii="Helvetica" w:hAnsi="Helvetica"/>
                <w:sz w:val="18"/>
                <w:szCs w:val="18"/>
              </w:rPr>
              <w:t xml:space="preserve">Postal </w:t>
            </w:r>
            <w:r w:rsidR="00E96EC1" w:rsidRPr="00793596">
              <w:rPr>
                <w:rFonts w:ascii="Helvetica" w:hAnsi="Helvetica"/>
                <w:sz w:val="18"/>
                <w:szCs w:val="18"/>
              </w:rPr>
              <w:t xml:space="preserve">Address </w:t>
            </w:r>
          </w:p>
        </w:tc>
        <w:tc>
          <w:tcPr>
            <w:tcW w:w="3543" w:type="dxa"/>
          </w:tcPr>
          <w:p w14:paraId="667EE9CC" w14:textId="059597D4" w:rsidR="00BB4208" w:rsidRPr="00793596" w:rsidRDefault="00BB4208" w:rsidP="00A7221D">
            <w:pPr>
              <w:pStyle w:val="TableHeading2"/>
              <w:rPr>
                <w:rFonts w:ascii="Helvetica" w:hAnsi="Helvetica"/>
                <w:sz w:val="18"/>
                <w:szCs w:val="18"/>
              </w:rPr>
            </w:pPr>
            <w:r w:rsidRPr="00793596">
              <w:rPr>
                <w:rFonts w:ascii="Helvetica" w:hAnsi="Helvetica"/>
                <w:sz w:val="18"/>
                <w:szCs w:val="18"/>
              </w:rPr>
              <w:t xml:space="preserve">GPO Box 263 </w:t>
            </w:r>
            <w:r w:rsidR="00ED74AC">
              <w:rPr>
                <w:rFonts w:ascii="Helvetica" w:hAnsi="Helvetica"/>
                <w:sz w:val="18"/>
                <w:szCs w:val="18"/>
              </w:rPr>
              <w:br/>
            </w:r>
            <w:r w:rsidRPr="00793596">
              <w:rPr>
                <w:rFonts w:ascii="Helvetica" w:hAnsi="Helvetica"/>
                <w:sz w:val="18"/>
                <w:szCs w:val="18"/>
              </w:rPr>
              <w:t xml:space="preserve">Collins Street West </w:t>
            </w:r>
          </w:p>
          <w:p w14:paraId="4EC2620E" w14:textId="2DDC27BA" w:rsidR="00E96EC1" w:rsidRPr="00793596" w:rsidRDefault="00BB4208" w:rsidP="00A7221D">
            <w:pPr>
              <w:pStyle w:val="TableHeading2"/>
              <w:rPr>
                <w:rFonts w:ascii="Helvetica" w:hAnsi="Helvetica"/>
                <w:sz w:val="18"/>
                <w:szCs w:val="18"/>
              </w:rPr>
            </w:pPr>
            <w:r w:rsidRPr="00793596">
              <w:rPr>
                <w:rFonts w:ascii="Helvetica" w:hAnsi="Helvetica"/>
                <w:sz w:val="18"/>
                <w:szCs w:val="18"/>
              </w:rPr>
              <w:t>Melbourne VIC 8007</w:t>
            </w:r>
          </w:p>
        </w:tc>
      </w:tr>
    </w:tbl>
    <w:p w14:paraId="12459F23" w14:textId="77777777" w:rsidR="00BB4208" w:rsidRPr="00A7221D" w:rsidRDefault="00BB4208" w:rsidP="00327675">
      <w:pPr>
        <w:pStyle w:val="TableHeading2"/>
        <w:rPr>
          <w:rFonts w:ascii="Helvetica" w:hAnsi="Helvetica"/>
          <w:sz w:val="18"/>
          <w:szCs w:val="18"/>
        </w:rPr>
      </w:pPr>
    </w:p>
    <w:sectPr w:rsidR="00BB4208" w:rsidRPr="00A7221D" w:rsidSect="004B4120">
      <w:footerReference w:type="even" r:id="rId10"/>
      <w:footerReference w:type="default" r:id="rId11"/>
      <w:type w:val="continuous"/>
      <w:pgSz w:w="11900" w:h="16840"/>
      <w:pgMar w:top="851" w:right="851" w:bottom="567" w:left="851" w:header="709" w:footer="9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B72CB" w14:textId="77777777" w:rsidR="004B4120" w:rsidRDefault="004B4120" w:rsidP="00C4539E">
      <w:pPr>
        <w:spacing w:after="0" w:line="240" w:lineRule="auto"/>
      </w:pPr>
      <w:r>
        <w:separator/>
      </w:r>
    </w:p>
  </w:endnote>
  <w:endnote w:type="continuationSeparator" w:id="0">
    <w:p w14:paraId="566E29B6" w14:textId="77777777" w:rsidR="004B4120" w:rsidRDefault="004B4120" w:rsidP="00C45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A00002FF" w:usb1="5000205B" w:usb2="00000002" w:usb3="00000000" w:csb0="0000009B" w:csb1="00000000"/>
  </w:font>
  <w:font w:name="Helvetica Neue Medium">
    <w:altName w:val="Arial"/>
    <w:charset w:val="4D"/>
    <w:family w:val="swiss"/>
    <w:pitch w:val="variable"/>
    <w:sig w:usb0="A00002FF" w:usb1="5000205B" w:usb2="00000002" w:usb3="00000000" w:csb0="0000009B" w:csb1="00000000"/>
  </w:font>
  <w:font w:name="Times New Roman (Body CS)">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Std-Lt">
    <w:altName w:val="Arial"/>
    <w:charset w:val="00"/>
    <w:family w:val="roman"/>
    <w:pitch w:val="variable"/>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86174661"/>
      <w:docPartObj>
        <w:docPartGallery w:val="Page Numbers (Bottom of Page)"/>
        <w:docPartUnique/>
      </w:docPartObj>
    </w:sdtPr>
    <w:sdtEndPr>
      <w:rPr>
        <w:rStyle w:val="PageNumber"/>
      </w:rPr>
    </w:sdtEndPr>
    <w:sdtContent>
      <w:p w14:paraId="770D4929" w14:textId="77777777" w:rsidR="00BE6FA9" w:rsidRDefault="00BE6FA9" w:rsidP="00E0655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BC9531" w14:textId="77777777" w:rsidR="00BE6FA9" w:rsidRDefault="00BE6FA9" w:rsidP="004E31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2803" w14:textId="77777777" w:rsidR="00BE6FA9" w:rsidRPr="004E3152" w:rsidRDefault="00BE6FA9" w:rsidP="004E3152">
    <w:pPr>
      <w:pStyle w:val="Footer"/>
      <w:ind w:right="360"/>
      <w:rPr>
        <w:rFonts w:ascii="Helvetica Neue Medium" w:hAnsi="Helvetica Neue Medium"/>
        <w:color w:val="2B41B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891C2" w14:textId="77777777" w:rsidR="004B4120" w:rsidRDefault="004B4120" w:rsidP="00C4539E">
      <w:pPr>
        <w:spacing w:after="0" w:line="240" w:lineRule="auto"/>
      </w:pPr>
      <w:r>
        <w:separator/>
      </w:r>
    </w:p>
  </w:footnote>
  <w:footnote w:type="continuationSeparator" w:id="0">
    <w:p w14:paraId="26FB29B6" w14:textId="77777777" w:rsidR="004B4120" w:rsidRDefault="004B4120" w:rsidP="00C453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24B94"/>
    <w:multiLevelType w:val="hybridMultilevel"/>
    <w:tmpl w:val="D922A6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80794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6D"/>
    <w:rsid w:val="00017ED5"/>
    <w:rsid w:val="000207BE"/>
    <w:rsid w:val="0003769B"/>
    <w:rsid w:val="0004423B"/>
    <w:rsid w:val="00070922"/>
    <w:rsid w:val="000726DD"/>
    <w:rsid w:val="000761EC"/>
    <w:rsid w:val="0008537A"/>
    <w:rsid w:val="00093B13"/>
    <w:rsid w:val="000C0BA3"/>
    <w:rsid w:val="000D780C"/>
    <w:rsid w:val="0010427C"/>
    <w:rsid w:val="001214FD"/>
    <w:rsid w:val="001611CE"/>
    <w:rsid w:val="001737C8"/>
    <w:rsid w:val="0017398E"/>
    <w:rsid w:val="00175F5D"/>
    <w:rsid w:val="001863B5"/>
    <w:rsid w:val="001A09DF"/>
    <w:rsid w:val="001E42FE"/>
    <w:rsid w:val="001F40B4"/>
    <w:rsid w:val="001F6077"/>
    <w:rsid w:val="00203D67"/>
    <w:rsid w:val="0020627E"/>
    <w:rsid w:val="00245403"/>
    <w:rsid w:val="00263B2F"/>
    <w:rsid w:val="00272737"/>
    <w:rsid w:val="00276A8D"/>
    <w:rsid w:val="002E0A2F"/>
    <w:rsid w:val="002E5240"/>
    <w:rsid w:val="00301E8A"/>
    <w:rsid w:val="00313078"/>
    <w:rsid w:val="0031338F"/>
    <w:rsid w:val="00327675"/>
    <w:rsid w:val="003A00AF"/>
    <w:rsid w:val="003D1DDC"/>
    <w:rsid w:val="003D61F5"/>
    <w:rsid w:val="003E150A"/>
    <w:rsid w:val="00406B5D"/>
    <w:rsid w:val="00420E14"/>
    <w:rsid w:val="00421141"/>
    <w:rsid w:val="00422A2F"/>
    <w:rsid w:val="004349BF"/>
    <w:rsid w:val="00437BAB"/>
    <w:rsid w:val="00441A03"/>
    <w:rsid w:val="0044751F"/>
    <w:rsid w:val="00456623"/>
    <w:rsid w:val="004573BA"/>
    <w:rsid w:val="004B4120"/>
    <w:rsid w:val="004E3152"/>
    <w:rsid w:val="004F7076"/>
    <w:rsid w:val="00503FCB"/>
    <w:rsid w:val="0053374F"/>
    <w:rsid w:val="00564E94"/>
    <w:rsid w:val="00572648"/>
    <w:rsid w:val="0057676D"/>
    <w:rsid w:val="0059063B"/>
    <w:rsid w:val="00591645"/>
    <w:rsid w:val="005C5611"/>
    <w:rsid w:val="005D1BC8"/>
    <w:rsid w:val="005E4A41"/>
    <w:rsid w:val="005F2FDB"/>
    <w:rsid w:val="005F5FF6"/>
    <w:rsid w:val="00622D9C"/>
    <w:rsid w:val="006A328E"/>
    <w:rsid w:val="006B4E3A"/>
    <w:rsid w:val="006C28C4"/>
    <w:rsid w:val="006E08A5"/>
    <w:rsid w:val="007219E7"/>
    <w:rsid w:val="00734192"/>
    <w:rsid w:val="00746C19"/>
    <w:rsid w:val="0077334F"/>
    <w:rsid w:val="007921A3"/>
    <w:rsid w:val="00793596"/>
    <w:rsid w:val="007C55DC"/>
    <w:rsid w:val="007D1BAD"/>
    <w:rsid w:val="007D619A"/>
    <w:rsid w:val="007E20B4"/>
    <w:rsid w:val="008043E8"/>
    <w:rsid w:val="008125B6"/>
    <w:rsid w:val="00815C81"/>
    <w:rsid w:val="00833472"/>
    <w:rsid w:val="00872C58"/>
    <w:rsid w:val="008D53E9"/>
    <w:rsid w:val="009015A8"/>
    <w:rsid w:val="00903FF5"/>
    <w:rsid w:val="009262F6"/>
    <w:rsid w:val="009326BF"/>
    <w:rsid w:val="009479DE"/>
    <w:rsid w:val="009B57F5"/>
    <w:rsid w:val="00A312AC"/>
    <w:rsid w:val="00A641B6"/>
    <w:rsid w:val="00A7221D"/>
    <w:rsid w:val="00A82A5F"/>
    <w:rsid w:val="00AC58B0"/>
    <w:rsid w:val="00AE7F68"/>
    <w:rsid w:val="00B02558"/>
    <w:rsid w:val="00B538D1"/>
    <w:rsid w:val="00B623F0"/>
    <w:rsid w:val="00B86474"/>
    <w:rsid w:val="00BA1D9F"/>
    <w:rsid w:val="00BB1C74"/>
    <w:rsid w:val="00BB4208"/>
    <w:rsid w:val="00BB53FF"/>
    <w:rsid w:val="00BD1918"/>
    <w:rsid w:val="00BD1D83"/>
    <w:rsid w:val="00BE6FA9"/>
    <w:rsid w:val="00C41F3D"/>
    <w:rsid w:val="00C4539E"/>
    <w:rsid w:val="00C46310"/>
    <w:rsid w:val="00C95ACF"/>
    <w:rsid w:val="00CB1408"/>
    <w:rsid w:val="00CC52D2"/>
    <w:rsid w:val="00CD161A"/>
    <w:rsid w:val="00CE2217"/>
    <w:rsid w:val="00CF4176"/>
    <w:rsid w:val="00D03FB7"/>
    <w:rsid w:val="00DC622E"/>
    <w:rsid w:val="00DE32DB"/>
    <w:rsid w:val="00E152EC"/>
    <w:rsid w:val="00E27E5D"/>
    <w:rsid w:val="00E62EED"/>
    <w:rsid w:val="00E63E48"/>
    <w:rsid w:val="00E64CA4"/>
    <w:rsid w:val="00E96EC1"/>
    <w:rsid w:val="00EA485E"/>
    <w:rsid w:val="00EC3C6C"/>
    <w:rsid w:val="00ED41DB"/>
    <w:rsid w:val="00ED74AC"/>
    <w:rsid w:val="00F16047"/>
    <w:rsid w:val="00F16DC4"/>
    <w:rsid w:val="00F47349"/>
    <w:rsid w:val="00F52A21"/>
    <w:rsid w:val="00F74BF3"/>
    <w:rsid w:val="00F84699"/>
    <w:rsid w:val="00FC2BC8"/>
    <w:rsid w:val="00FE0DF1"/>
    <w:rsid w:val="00FE349C"/>
    <w:rsid w:val="00FE6E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ACAD3"/>
  <w15:docId w15:val="{6292256A-9A3D-FD47-8F62-8B0C36C3E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BC8"/>
    <w:pPr>
      <w:spacing w:after="240" w:line="264" w:lineRule="auto"/>
    </w:pPr>
    <w:rPr>
      <w:rFonts w:ascii="Helvetica Neue" w:hAnsi="Helvetica Neue"/>
      <w:color w:val="252729"/>
      <w:sz w:val="16"/>
    </w:rPr>
  </w:style>
  <w:style w:type="paragraph" w:styleId="Heading1">
    <w:name w:val="heading 1"/>
    <w:basedOn w:val="Normal"/>
    <w:next w:val="Normal"/>
    <w:link w:val="Heading1Char"/>
    <w:uiPriority w:val="9"/>
    <w:qFormat/>
    <w:rsid w:val="00746C19"/>
    <w:pPr>
      <w:keepNext/>
      <w:keepLines/>
      <w:outlineLvl w:val="0"/>
    </w:pPr>
    <w:rPr>
      <w:rFonts w:ascii="Helvetica Neue Medium" w:eastAsiaTheme="majorEastAsia" w:hAnsi="Helvetica Neue Medium" w:cstheme="majorBidi"/>
      <w:color w:val="2B41B1"/>
      <w:sz w:val="48"/>
      <w:szCs w:val="32"/>
    </w:rPr>
  </w:style>
  <w:style w:type="paragraph" w:styleId="Heading2">
    <w:name w:val="heading 2"/>
    <w:basedOn w:val="Normal"/>
    <w:next w:val="Normal"/>
    <w:link w:val="Heading2Char"/>
    <w:uiPriority w:val="9"/>
    <w:unhideWhenUsed/>
    <w:qFormat/>
    <w:rsid w:val="00E152EC"/>
    <w:pPr>
      <w:keepNext/>
      <w:keepLines/>
      <w:spacing w:before="40" w:after="0"/>
      <w:outlineLvl w:val="1"/>
    </w:pPr>
    <w:rPr>
      <w:rFonts w:ascii="Helvetica Neue Medium" w:eastAsiaTheme="majorEastAsia" w:hAnsi="Helvetica Neue Medium" w:cstheme="majorBidi"/>
      <w:color w:val="5E5D5D"/>
      <w:sz w:val="28"/>
      <w:szCs w:val="26"/>
    </w:rPr>
  </w:style>
  <w:style w:type="paragraph" w:styleId="Heading3">
    <w:name w:val="heading 3"/>
    <w:basedOn w:val="Normal"/>
    <w:next w:val="Normal"/>
    <w:link w:val="Heading3Char"/>
    <w:uiPriority w:val="9"/>
    <w:unhideWhenUsed/>
    <w:qFormat/>
    <w:rsid w:val="00F16DC4"/>
    <w:pPr>
      <w:keepNext/>
      <w:keepLines/>
      <w:outlineLvl w:val="2"/>
    </w:pPr>
    <w:rPr>
      <w:rFonts w:ascii="Helvetica Neue Medium" w:eastAsiaTheme="majorEastAsia" w:hAnsi="Helvetica Neue Medium" w:cstheme="majorBidi"/>
      <w:color w:val="2B41B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C19"/>
    <w:rPr>
      <w:rFonts w:ascii="Helvetica Neue Medium" w:eastAsiaTheme="majorEastAsia" w:hAnsi="Helvetica Neue Medium" w:cstheme="majorBidi"/>
      <w:color w:val="2B41B1"/>
      <w:sz w:val="48"/>
      <w:szCs w:val="32"/>
    </w:rPr>
  </w:style>
  <w:style w:type="character" w:customStyle="1" w:styleId="Heading2Char">
    <w:name w:val="Heading 2 Char"/>
    <w:basedOn w:val="DefaultParagraphFont"/>
    <w:link w:val="Heading2"/>
    <w:uiPriority w:val="9"/>
    <w:rsid w:val="00E152EC"/>
    <w:rPr>
      <w:rFonts w:ascii="Helvetica Neue Medium" w:eastAsiaTheme="majorEastAsia" w:hAnsi="Helvetica Neue Medium" w:cstheme="majorBidi"/>
      <w:color w:val="5E5D5D"/>
      <w:sz w:val="28"/>
      <w:szCs w:val="26"/>
    </w:rPr>
  </w:style>
  <w:style w:type="character" w:customStyle="1" w:styleId="Heading3Char">
    <w:name w:val="Heading 3 Char"/>
    <w:basedOn w:val="DefaultParagraphFont"/>
    <w:link w:val="Heading3"/>
    <w:uiPriority w:val="9"/>
    <w:rsid w:val="00F16DC4"/>
    <w:rPr>
      <w:rFonts w:ascii="Helvetica Neue Medium" w:eastAsiaTheme="majorEastAsia" w:hAnsi="Helvetica Neue Medium" w:cstheme="majorBidi"/>
      <w:color w:val="2B41B1"/>
      <w:sz w:val="18"/>
    </w:rPr>
  </w:style>
  <w:style w:type="table" w:styleId="TableGrid">
    <w:name w:val="Table Grid"/>
    <w:basedOn w:val="TableNormal"/>
    <w:uiPriority w:val="39"/>
    <w:rsid w:val="00F16D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6DC4"/>
    <w:rPr>
      <w:rFonts w:ascii="Helvetica Neue" w:hAnsi="Helvetica Neue"/>
      <w:color w:val="252729"/>
      <w:sz w:val="18"/>
    </w:rPr>
  </w:style>
  <w:style w:type="paragraph" w:customStyle="1" w:styleId="TableHeading">
    <w:name w:val="Table Heading"/>
    <w:basedOn w:val="Normal"/>
    <w:qFormat/>
    <w:rsid w:val="00572648"/>
    <w:pPr>
      <w:spacing w:after="0"/>
    </w:pPr>
    <w:rPr>
      <w:rFonts w:ascii="Helvetica Neue Medium" w:hAnsi="Helvetica Neue Medium"/>
      <w:color w:val="2B41B1"/>
      <w:szCs w:val="15"/>
    </w:rPr>
  </w:style>
  <w:style w:type="paragraph" w:customStyle="1" w:styleId="Table">
    <w:name w:val="Table"/>
    <w:basedOn w:val="Normal"/>
    <w:next w:val="Normal"/>
    <w:qFormat/>
    <w:rsid w:val="00572648"/>
    <w:pPr>
      <w:spacing w:after="0"/>
    </w:pPr>
    <w:rPr>
      <w:sz w:val="15"/>
      <w:szCs w:val="15"/>
    </w:rPr>
  </w:style>
  <w:style w:type="paragraph" w:customStyle="1" w:styleId="TableHeading2">
    <w:name w:val="Table Heading 2"/>
    <w:basedOn w:val="TableHeading"/>
    <w:qFormat/>
    <w:rsid w:val="00572648"/>
    <w:rPr>
      <w:color w:val="252729"/>
      <w:sz w:val="15"/>
    </w:rPr>
  </w:style>
  <w:style w:type="paragraph" w:styleId="FootnoteText">
    <w:name w:val="footnote text"/>
    <w:basedOn w:val="Normal"/>
    <w:link w:val="FootnoteTextChar"/>
    <w:uiPriority w:val="99"/>
    <w:unhideWhenUsed/>
    <w:rsid w:val="00C4539E"/>
    <w:pPr>
      <w:spacing w:after="0" w:line="240" w:lineRule="auto"/>
    </w:pPr>
    <w:rPr>
      <w:sz w:val="20"/>
      <w:szCs w:val="20"/>
    </w:rPr>
  </w:style>
  <w:style w:type="character" w:customStyle="1" w:styleId="FootnoteTextChar">
    <w:name w:val="Footnote Text Char"/>
    <w:basedOn w:val="DefaultParagraphFont"/>
    <w:link w:val="FootnoteText"/>
    <w:uiPriority w:val="99"/>
    <w:rsid w:val="00C4539E"/>
    <w:rPr>
      <w:rFonts w:ascii="Helvetica Neue" w:hAnsi="Helvetica Neue"/>
      <w:color w:val="252729"/>
      <w:sz w:val="20"/>
      <w:szCs w:val="20"/>
    </w:rPr>
  </w:style>
  <w:style w:type="character" w:styleId="FootnoteReference">
    <w:name w:val="footnote reference"/>
    <w:basedOn w:val="DefaultParagraphFont"/>
    <w:uiPriority w:val="99"/>
    <w:semiHidden/>
    <w:unhideWhenUsed/>
    <w:rsid w:val="00C4539E"/>
    <w:rPr>
      <w:vertAlign w:val="superscript"/>
    </w:rPr>
  </w:style>
  <w:style w:type="paragraph" w:customStyle="1" w:styleId="Footnote">
    <w:name w:val="Footnote"/>
    <w:basedOn w:val="Normal"/>
    <w:next w:val="Normal"/>
    <w:qFormat/>
    <w:rsid w:val="004E3152"/>
    <w:pPr>
      <w:ind w:left="170" w:right="-284" w:hanging="170"/>
    </w:pPr>
    <w:rPr>
      <w:rFonts w:cs="Times New Roman (Body CS)"/>
      <w:sz w:val="15"/>
    </w:rPr>
  </w:style>
  <w:style w:type="paragraph" w:styleId="Header">
    <w:name w:val="header"/>
    <w:basedOn w:val="Normal"/>
    <w:link w:val="HeaderChar"/>
    <w:uiPriority w:val="99"/>
    <w:unhideWhenUsed/>
    <w:rsid w:val="004E31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3152"/>
    <w:rPr>
      <w:rFonts w:ascii="Helvetica Neue" w:hAnsi="Helvetica Neue"/>
      <w:color w:val="252729"/>
      <w:sz w:val="16"/>
    </w:rPr>
  </w:style>
  <w:style w:type="paragraph" w:styleId="Footer">
    <w:name w:val="footer"/>
    <w:basedOn w:val="Normal"/>
    <w:link w:val="FooterChar"/>
    <w:uiPriority w:val="99"/>
    <w:unhideWhenUsed/>
    <w:rsid w:val="004E31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3152"/>
    <w:rPr>
      <w:rFonts w:ascii="Helvetica Neue" w:hAnsi="Helvetica Neue"/>
      <w:color w:val="252729"/>
      <w:sz w:val="16"/>
    </w:rPr>
  </w:style>
  <w:style w:type="character" w:styleId="PageNumber">
    <w:name w:val="page number"/>
    <w:basedOn w:val="DefaultParagraphFont"/>
    <w:uiPriority w:val="99"/>
    <w:semiHidden/>
    <w:unhideWhenUsed/>
    <w:rsid w:val="004E3152"/>
  </w:style>
  <w:style w:type="character" w:styleId="Hyperlink">
    <w:name w:val="Hyperlink"/>
    <w:basedOn w:val="DefaultParagraphFont"/>
    <w:uiPriority w:val="99"/>
    <w:unhideWhenUsed/>
    <w:rsid w:val="00833472"/>
    <w:rPr>
      <w:color w:val="0563C1" w:themeColor="hyperlink"/>
      <w:u w:val="single"/>
    </w:rPr>
  </w:style>
  <w:style w:type="character" w:styleId="FollowedHyperlink">
    <w:name w:val="FollowedHyperlink"/>
    <w:basedOn w:val="DefaultParagraphFont"/>
    <w:uiPriority w:val="99"/>
    <w:semiHidden/>
    <w:unhideWhenUsed/>
    <w:rsid w:val="00833472"/>
    <w:rPr>
      <w:color w:val="954F72" w:themeColor="followedHyperlink"/>
      <w:u w:val="single"/>
    </w:rPr>
  </w:style>
  <w:style w:type="character" w:customStyle="1" w:styleId="UnresolvedMention1">
    <w:name w:val="Unresolved Mention1"/>
    <w:basedOn w:val="DefaultParagraphFont"/>
    <w:uiPriority w:val="99"/>
    <w:semiHidden/>
    <w:unhideWhenUsed/>
    <w:rsid w:val="00833472"/>
    <w:rPr>
      <w:color w:val="808080"/>
      <w:shd w:val="clear" w:color="auto" w:fill="E6E6E6"/>
    </w:rPr>
  </w:style>
  <w:style w:type="paragraph" w:customStyle="1" w:styleId="TableParagraph">
    <w:name w:val="Table Paragraph"/>
    <w:basedOn w:val="Normal"/>
    <w:uiPriority w:val="1"/>
    <w:qFormat/>
    <w:rsid w:val="0010427C"/>
    <w:pPr>
      <w:widowControl w:val="0"/>
      <w:autoSpaceDE w:val="0"/>
      <w:autoSpaceDN w:val="0"/>
      <w:spacing w:after="0" w:line="240" w:lineRule="auto"/>
    </w:pPr>
    <w:rPr>
      <w:rFonts w:ascii="Arial" w:eastAsia="Arial" w:hAnsi="Arial" w:cs="Arial"/>
      <w:color w:val="auto"/>
      <w:sz w:val="22"/>
      <w:szCs w:val="22"/>
      <w:lang w:bidi="en-US"/>
    </w:rPr>
  </w:style>
  <w:style w:type="paragraph" w:styleId="BalloonText">
    <w:name w:val="Balloon Text"/>
    <w:basedOn w:val="Normal"/>
    <w:link w:val="BalloonTextChar"/>
    <w:uiPriority w:val="99"/>
    <w:semiHidden/>
    <w:unhideWhenUsed/>
    <w:rsid w:val="00AE7F68"/>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AE7F68"/>
    <w:rPr>
      <w:rFonts w:ascii="Tahoma" w:hAnsi="Tahoma" w:cs="Tahoma"/>
      <w:color w:val="252729"/>
      <w:sz w:val="16"/>
      <w:szCs w:val="16"/>
    </w:rPr>
  </w:style>
  <w:style w:type="character" w:customStyle="1" w:styleId="ListParagraphChar">
    <w:name w:val="List Paragraph Char"/>
    <w:basedOn w:val="DefaultParagraphFont"/>
    <w:link w:val="ListParagraph"/>
    <w:uiPriority w:val="34"/>
    <w:locked/>
    <w:rsid w:val="001E42FE"/>
  </w:style>
  <w:style w:type="paragraph" w:styleId="ListParagraph">
    <w:name w:val="List Paragraph"/>
    <w:basedOn w:val="Normal"/>
    <w:link w:val="ListParagraphChar"/>
    <w:uiPriority w:val="34"/>
    <w:qFormat/>
    <w:rsid w:val="001E42FE"/>
    <w:pPr>
      <w:spacing w:after="200" w:line="276" w:lineRule="auto"/>
      <w:ind w:left="720"/>
      <w:contextualSpacing/>
    </w:pPr>
    <w:rPr>
      <w:rFonts w:asciiTheme="minorHAnsi" w:hAnsiTheme="minorHAnsi"/>
      <w:color w:val="auto"/>
      <w:sz w:val="24"/>
    </w:rPr>
  </w:style>
  <w:style w:type="paragraph" w:styleId="BodyText">
    <w:name w:val="Body Text"/>
    <w:basedOn w:val="Normal"/>
    <w:link w:val="BodyTextChar"/>
    <w:uiPriority w:val="1"/>
    <w:unhideWhenUsed/>
    <w:rsid w:val="003A00AF"/>
    <w:pPr>
      <w:autoSpaceDE w:val="0"/>
      <w:autoSpaceDN w:val="0"/>
      <w:spacing w:before="120" w:after="0" w:line="252" w:lineRule="auto"/>
      <w:ind w:left="992" w:right="851"/>
    </w:pPr>
    <w:rPr>
      <w:rFonts w:ascii="HelveticaNeueLTStd-Lt" w:hAnsi="HelveticaNeueLTStd-Lt" w:cs="Calibri"/>
      <w:color w:val="212327"/>
      <w:sz w:val="18"/>
      <w:szCs w:val="18"/>
    </w:rPr>
  </w:style>
  <w:style w:type="character" w:customStyle="1" w:styleId="BodyTextChar">
    <w:name w:val="Body Text Char"/>
    <w:basedOn w:val="DefaultParagraphFont"/>
    <w:link w:val="BodyText"/>
    <w:uiPriority w:val="1"/>
    <w:rsid w:val="003A00AF"/>
    <w:rPr>
      <w:rFonts w:ascii="HelveticaNeueLTStd-Lt" w:hAnsi="HelveticaNeueLTStd-Lt" w:cs="Calibri"/>
      <w:color w:val="212327"/>
      <w:sz w:val="18"/>
      <w:szCs w:val="18"/>
    </w:rPr>
  </w:style>
  <w:style w:type="paragraph" w:styleId="Revision">
    <w:name w:val="Revision"/>
    <w:hidden/>
    <w:uiPriority w:val="99"/>
    <w:semiHidden/>
    <w:rsid w:val="00441A03"/>
    <w:rPr>
      <w:rFonts w:ascii="Helvetica Neue" w:hAnsi="Helvetica Neue"/>
      <w:color w:val="252729"/>
      <w:sz w:val="16"/>
    </w:rPr>
  </w:style>
  <w:style w:type="character" w:styleId="CommentReference">
    <w:name w:val="annotation reference"/>
    <w:basedOn w:val="DefaultParagraphFont"/>
    <w:semiHidden/>
    <w:unhideWhenUsed/>
    <w:rsid w:val="003D1DDC"/>
    <w:rPr>
      <w:sz w:val="16"/>
      <w:szCs w:val="16"/>
    </w:rPr>
  </w:style>
  <w:style w:type="paragraph" w:styleId="CommentText">
    <w:name w:val="annotation text"/>
    <w:basedOn w:val="Normal"/>
    <w:link w:val="CommentTextChar"/>
    <w:unhideWhenUsed/>
    <w:rsid w:val="003D1DDC"/>
    <w:pPr>
      <w:spacing w:line="240" w:lineRule="auto"/>
    </w:pPr>
    <w:rPr>
      <w:sz w:val="20"/>
      <w:szCs w:val="20"/>
    </w:rPr>
  </w:style>
  <w:style w:type="character" w:customStyle="1" w:styleId="CommentTextChar">
    <w:name w:val="Comment Text Char"/>
    <w:basedOn w:val="DefaultParagraphFont"/>
    <w:link w:val="CommentText"/>
    <w:rsid w:val="003D1DDC"/>
    <w:rPr>
      <w:rFonts w:ascii="Helvetica Neue" w:hAnsi="Helvetica Neue"/>
      <w:color w:val="252729"/>
      <w:sz w:val="20"/>
      <w:szCs w:val="20"/>
    </w:rPr>
  </w:style>
  <w:style w:type="paragraph" w:styleId="CommentSubject">
    <w:name w:val="annotation subject"/>
    <w:basedOn w:val="CommentText"/>
    <w:next w:val="CommentText"/>
    <w:link w:val="CommentSubjectChar"/>
    <w:uiPriority w:val="99"/>
    <w:semiHidden/>
    <w:unhideWhenUsed/>
    <w:rsid w:val="003D1DDC"/>
    <w:rPr>
      <w:b/>
      <w:bCs/>
    </w:rPr>
  </w:style>
  <w:style w:type="character" w:customStyle="1" w:styleId="CommentSubjectChar">
    <w:name w:val="Comment Subject Char"/>
    <w:basedOn w:val="CommentTextChar"/>
    <w:link w:val="CommentSubject"/>
    <w:uiPriority w:val="99"/>
    <w:semiHidden/>
    <w:rsid w:val="003D1DDC"/>
    <w:rPr>
      <w:rFonts w:ascii="Helvetica Neue" w:hAnsi="Helvetica Neue"/>
      <w:b/>
      <w:bCs/>
      <w:color w:val="252729"/>
      <w:sz w:val="20"/>
      <w:szCs w:val="20"/>
    </w:rPr>
  </w:style>
  <w:style w:type="paragraph" w:customStyle="1" w:styleId="Default">
    <w:name w:val="Default"/>
    <w:rsid w:val="00C46310"/>
    <w:pPr>
      <w:autoSpaceDE w:val="0"/>
      <w:autoSpaceDN w:val="0"/>
      <w:adjustRightInd w:val="0"/>
    </w:pPr>
    <w:rPr>
      <w:rFonts w:ascii="Helvetica Neue" w:hAnsi="Helvetica Neue" w:cs="Helvetica Neue"/>
      <w:color w:val="000000"/>
    </w:rPr>
  </w:style>
  <w:style w:type="character" w:customStyle="1" w:styleId="DVCommentChar">
    <w:name w:val="DV Comment Char"/>
    <w:basedOn w:val="DefaultParagraphFont"/>
    <w:link w:val="DVComment"/>
    <w:locked/>
    <w:rsid w:val="00456623"/>
    <w:rPr>
      <w:noProof/>
      <w:color w:val="333F48"/>
      <w:lang w:val="en-US"/>
    </w:rPr>
  </w:style>
  <w:style w:type="paragraph" w:customStyle="1" w:styleId="DVComment">
    <w:name w:val="DV Comment"/>
    <w:basedOn w:val="Normal"/>
    <w:link w:val="DVCommentChar"/>
    <w:qFormat/>
    <w:rsid w:val="00456623"/>
    <w:pPr>
      <w:spacing w:after="160" w:line="256" w:lineRule="auto"/>
    </w:pPr>
    <w:rPr>
      <w:rFonts w:asciiTheme="minorHAnsi" w:hAnsiTheme="minorHAnsi"/>
      <w:noProof/>
      <w:color w:val="333F48"/>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18199">
      <w:bodyDiv w:val="1"/>
      <w:marLeft w:val="0"/>
      <w:marRight w:val="0"/>
      <w:marTop w:val="0"/>
      <w:marBottom w:val="0"/>
      <w:divBdr>
        <w:top w:val="none" w:sz="0" w:space="0" w:color="auto"/>
        <w:left w:val="none" w:sz="0" w:space="0" w:color="auto"/>
        <w:bottom w:val="none" w:sz="0" w:space="0" w:color="auto"/>
        <w:right w:val="none" w:sz="0" w:space="0" w:color="auto"/>
      </w:divBdr>
    </w:div>
    <w:div w:id="328097656">
      <w:bodyDiv w:val="1"/>
      <w:marLeft w:val="0"/>
      <w:marRight w:val="0"/>
      <w:marTop w:val="0"/>
      <w:marBottom w:val="0"/>
      <w:divBdr>
        <w:top w:val="none" w:sz="0" w:space="0" w:color="auto"/>
        <w:left w:val="none" w:sz="0" w:space="0" w:color="auto"/>
        <w:bottom w:val="none" w:sz="0" w:space="0" w:color="auto"/>
        <w:right w:val="none" w:sz="0" w:space="0" w:color="auto"/>
      </w:divBdr>
    </w:div>
    <w:div w:id="332144024">
      <w:bodyDiv w:val="1"/>
      <w:marLeft w:val="0"/>
      <w:marRight w:val="0"/>
      <w:marTop w:val="0"/>
      <w:marBottom w:val="0"/>
      <w:divBdr>
        <w:top w:val="none" w:sz="0" w:space="0" w:color="auto"/>
        <w:left w:val="none" w:sz="0" w:space="0" w:color="auto"/>
        <w:bottom w:val="none" w:sz="0" w:space="0" w:color="auto"/>
        <w:right w:val="none" w:sz="0" w:space="0" w:color="auto"/>
      </w:divBdr>
    </w:div>
    <w:div w:id="528953856">
      <w:bodyDiv w:val="1"/>
      <w:marLeft w:val="0"/>
      <w:marRight w:val="0"/>
      <w:marTop w:val="0"/>
      <w:marBottom w:val="0"/>
      <w:divBdr>
        <w:top w:val="none" w:sz="0" w:space="0" w:color="auto"/>
        <w:left w:val="none" w:sz="0" w:space="0" w:color="auto"/>
        <w:bottom w:val="none" w:sz="0" w:space="0" w:color="auto"/>
        <w:right w:val="none" w:sz="0" w:space="0" w:color="auto"/>
      </w:divBdr>
    </w:div>
    <w:div w:id="618071970">
      <w:bodyDiv w:val="1"/>
      <w:marLeft w:val="0"/>
      <w:marRight w:val="0"/>
      <w:marTop w:val="0"/>
      <w:marBottom w:val="0"/>
      <w:divBdr>
        <w:top w:val="none" w:sz="0" w:space="0" w:color="auto"/>
        <w:left w:val="none" w:sz="0" w:space="0" w:color="auto"/>
        <w:bottom w:val="none" w:sz="0" w:space="0" w:color="auto"/>
        <w:right w:val="none" w:sz="0" w:space="0" w:color="auto"/>
      </w:divBdr>
    </w:div>
    <w:div w:id="628248015">
      <w:bodyDiv w:val="1"/>
      <w:marLeft w:val="0"/>
      <w:marRight w:val="0"/>
      <w:marTop w:val="0"/>
      <w:marBottom w:val="0"/>
      <w:divBdr>
        <w:top w:val="none" w:sz="0" w:space="0" w:color="auto"/>
        <w:left w:val="none" w:sz="0" w:space="0" w:color="auto"/>
        <w:bottom w:val="none" w:sz="0" w:space="0" w:color="auto"/>
        <w:right w:val="none" w:sz="0" w:space="0" w:color="auto"/>
      </w:divBdr>
    </w:div>
    <w:div w:id="1017078778">
      <w:bodyDiv w:val="1"/>
      <w:marLeft w:val="0"/>
      <w:marRight w:val="0"/>
      <w:marTop w:val="0"/>
      <w:marBottom w:val="0"/>
      <w:divBdr>
        <w:top w:val="none" w:sz="0" w:space="0" w:color="auto"/>
        <w:left w:val="none" w:sz="0" w:space="0" w:color="auto"/>
        <w:bottom w:val="none" w:sz="0" w:space="0" w:color="auto"/>
        <w:right w:val="none" w:sz="0" w:space="0" w:color="auto"/>
      </w:divBdr>
    </w:div>
    <w:div w:id="1184324228">
      <w:bodyDiv w:val="1"/>
      <w:marLeft w:val="0"/>
      <w:marRight w:val="0"/>
      <w:marTop w:val="0"/>
      <w:marBottom w:val="0"/>
      <w:divBdr>
        <w:top w:val="none" w:sz="0" w:space="0" w:color="auto"/>
        <w:left w:val="none" w:sz="0" w:space="0" w:color="auto"/>
        <w:bottom w:val="none" w:sz="0" w:space="0" w:color="auto"/>
        <w:right w:val="none" w:sz="0" w:space="0" w:color="auto"/>
      </w:divBdr>
    </w:div>
    <w:div w:id="1205480067">
      <w:bodyDiv w:val="1"/>
      <w:marLeft w:val="0"/>
      <w:marRight w:val="0"/>
      <w:marTop w:val="0"/>
      <w:marBottom w:val="0"/>
      <w:divBdr>
        <w:top w:val="none" w:sz="0" w:space="0" w:color="auto"/>
        <w:left w:val="none" w:sz="0" w:space="0" w:color="auto"/>
        <w:bottom w:val="none" w:sz="0" w:space="0" w:color="auto"/>
        <w:right w:val="none" w:sz="0" w:space="0" w:color="auto"/>
      </w:divBdr>
    </w:div>
    <w:div w:id="1258363300">
      <w:bodyDiv w:val="1"/>
      <w:marLeft w:val="0"/>
      <w:marRight w:val="0"/>
      <w:marTop w:val="0"/>
      <w:marBottom w:val="0"/>
      <w:divBdr>
        <w:top w:val="none" w:sz="0" w:space="0" w:color="auto"/>
        <w:left w:val="none" w:sz="0" w:space="0" w:color="auto"/>
        <w:bottom w:val="none" w:sz="0" w:space="0" w:color="auto"/>
        <w:right w:val="none" w:sz="0" w:space="0" w:color="auto"/>
      </w:divBdr>
    </w:div>
    <w:div w:id="1333682545">
      <w:bodyDiv w:val="1"/>
      <w:marLeft w:val="0"/>
      <w:marRight w:val="0"/>
      <w:marTop w:val="0"/>
      <w:marBottom w:val="0"/>
      <w:divBdr>
        <w:top w:val="none" w:sz="0" w:space="0" w:color="auto"/>
        <w:left w:val="none" w:sz="0" w:space="0" w:color="auto"/>
        <w:bottom w:val="none" w:sz="0" w:space="0" w:color="auto"/>
        <w:right w:val="none" w:sz="0" w:space="0" w:color="auto"/>
      </w:divBdr>
    </w:div>
    <w:div w:id="1339230921">
      <w:bodyDiv w:val="1"/>
      <w:marLeft w:val="0"/>
      <w:marRight w:val="0"/>
      <w:marTop w:val="0"/>
      <w:marBottom w:val="0"/>
      <w:divBdr>
        <w:top w:val="none" w:sz="0" w:space="0" w:color="auto"/>
        <w:left w:val="none" w:sz="0" w:space="0" w:color="auto"/>
        <w:bottom w:val="none" w:sz="0" w:space="0" w:color="auto"/>
        <w:right w:val="none" w:sz="0" w:space="0" w:color="auto"/>
      </w:divBdr>
    </w:div>
    <w:div w:id="1430200142">
      <w:bodyDiv w:val="1"/>
      <w:marLeft w:val="0"/>
      <w:marRight w:val="0"/>
      <w:marTop w:val="0"/>
      <w:marBottom w:val="0"/>
      <w:divBdr>
        <w:top w:val="none" w:sz="0" w:space="0" w:color="auto"/>
        <w:left w:val="none" w:sz="0" w:space="0" w:color="auto"/>
        <w:bottom w:val="none" w:sz="0" w:space="0" w:color="auto"/>
        <w:right w:val="none" w:sz="0" w:space="0" w:color="auto"/>
      </w:divBdr>
    </w:div>
    <w:div w:id="1670014336">
      <w:bodyDiv w:val="1"/>
      <w:marLeft w:val="0"/>
      <w:marRight w:val="0"/>
      <w:marTop w:val="0"/>
      <w:marBottom w:val="0"/>
      <w:divBdr>
        <w:top w:val="none" w:sz="0" w:space="0" w:color="auto"/>
        <w:left w:val="none" w:sz="0" w:space="0" w:color="auto"/>
        <w:bottom w:val="none" w:sz="0" w:space="0" w:color="auto"/>
        <w:right w:val="none" w:sz="0" w:space="0" w:color="auto"/>
      </w:divBdr>
    </w:div>
    <w:div w:id="1747653305">
      <w:bodyDiv w:val="1"/>
      <w:marLeft w:val="0"/>
      <w:marRight w:val="0"/>
      <w:marTop w:val="0"/>
      <w:marBottom w:val="0"/>
      <w:divBdr>
        <w:top w:val="none" w:sz="0" w:space="0" w:color="auto"/>
        <w:left w:val="none" w:sz="0" w:space="0" w:color="auto"/>
        <w:bottom w:val="none" w:sz="0" w:space="0" w:color="auto"/>
        <w:right w:val="none" w:sz="0" w:space="0" w:color="auto"/>
      </w:divBdr>
    </w:div>
    <w:div w:id="1797217186">
      <w:bodyDiv w:val="1"/>
      <w:marLeft w:val="0"/>
      <w:marRight w:val="0"/>
      <w:marTop w:val="0"/>
      <w:marBottom w:val="0"/>
      <w:divBdr>
        <w:top w:val="none" w:sz="0" w:space="0" w:color="auto"/>
        <w:left w:val="none" w:sz="0" w:space="0" w:color="auto"/>
        <w:bottom w:val="none" w:sz="0" w:space="0" w:color="auto"/>
        <w:right w:val="none" w:sz="0" w:space="0" w:color="auto"/>
      </w:divBdr>
    </w:div>
    <w:div w:id="1806507659">
      <w:bodyDiv w:val="1"/>
      <w:marLeft w:val="0"/>
      <w:marRight w:val="0"/>
      <w:marTop w:val="0"/>
      <w:marBottom w:val="0"/>
      <w:divBdr>
        <w:top w:val="none" w:sz="0" w:space="0" w:color="auto"/>
        <w:left w:val="none" w:sz="0" w:space="0" w:color="auto"/>
        <w:bottom w:val="none" w:sz="0" w:space="0" w:color="auto"/>
        <w:right w:val="none" w:sz="0" w:space="0" w:color="auto"/>
      </w:divBdr>
    </w:div>
    <w:div w:id="1926725262">
      <w:bodyDiv w:val="1"/>
      <w:marLeft w:val="0"/>
      <w:marRight w:val="0"/>
      <w:marTop w:val="0"/>
      <w:marBottom w:val="0"/>
      <w:divBdr>
        <w:top w:val="none" w:sz="0" w:space="0" w:color="auto"/>
        <w:left w:val="none" w:sz="0" w:space="0" w:color="auto"/>
        <w:bottom w:val="none" w:sz="0" w:space="0" w:color="auto"/>
        <w:right w:val="none" w:sz="0" w:space="0" w:color="auto"/>
      </w:divBdr>
    </w:div>
    <w:div w:id="210923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5252C-5CF1-44CC-98E9-A2D37B9B6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1661</Words>
  <Characters>9471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Iowa Teh</cp:lastModifiedBy>
  <cp:revision>2</cp:revision>
  <cp:lastPrinted>2018-07-06T05:34:00Z</cp:lastPrinted>
  <dcterms:created xsi:type="dcterms:W3CDTF">2024-04-17T23:29:00Z</dcterms:created>
  <dcterms:modified xsi:type="dcterms:W3CDTF">2024-04-17T23:29:00Z</dcterms:modified>
</cp:coreProperties>
</file>