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FC92" w14:textId="77777777" w:rsidR="0044751F" w:rsidRPr="00793596" w:rsidRDefault="0044751F">
      <w:pPr>
        <w:rPr>
          <w:rFonts w:ascii="Helvetica" w:hAnsi="Helvetica"/>
        </w:rPr>
      </w:pPr>
      <w:r w:rsidRPr="00793596">
        <w:rPr>
          <w:rFonts w:ascii="Helvetica" w:hAnsi="Helvetica"/>
          <w:noProof/>
          <w:lang w:val="en-GB" w:eastAsia="en-GB"/>
        </w:rPr>
        <w:drawing>
          <wp:inline distT="0" distB="0" distL="0" distR="0" wp14:anchorId="1D424441" wp14:editId="237DA9C9">
            <wp:extent cx="1616400" cy="43152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tion Lif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400" cy="431528"/>
                    </a:xfrm>
                    <a:prstGeom prst="rect">
                      <a:avLst/>
                    </a:prstGeom>
                  </pic:spPr>
                </pic:pic>
              </a:graphicData>
            </a:graphic>
          </wp:inline>
        </w:drawing>
      </w:r>
    </w:p>
    <w:p w14:paraId="26354023" w14:textId="77777777" w:rsidR="00C4539E" w:rsidRPr="00793596" w:rsidRDefault="00C4539E">
      <w:pPr>
        <w:rPr>
          <w:rFonts w:ascii="Helvetica" w:hAnsi="Helvetica"/>
        </w:rPr>
      </w:pPr>
    </w:p>
    <w:p w14:paraId="5502C120" w14:textId="47627F59" w:rsidR="00E27E5D" w:rsidRPr="00793596" w:rsidRDefault="00E27E5D" w:rsidP="00572648">
      <w:pPr>
        <w:pStyle w:val="Heading2"/>
        <w:rPr>
          <w:rFonts w:ascii="Helvetica" w:hAnsi="Helvetica"/>
          <w:color w:val="2B41B1"/>
          <w:sz w:val="48"/>
          <w:szCs w:val="32"/>
        </w:rPr>
      </w:pPr>
      <w:r w:rsidRPr="00793596">
        <w:rPr>
          <w:rFonts w:ascii="Helvetica" w:hAnsi="Helvetica"/>
          <w:color w:val="2B41B1"/>
          <w:sz w:val="48"/>
          <w:szCs w:val="32"/>
        </w:rPr>
        <w:br/>
        <w:t xml:space="preserve">Sample Record of Advice or </w:t>
      </w:r>
    </w:p>
    <w:p w14:paraId="15E24CFE" w14:textId="40BAC1D1" w:rsidR="00FE6E18" w:rsidRPr="00793596" w:rsidRDefault="00E27E5D" w:rsidP="00572648">
      <w:pPr>
        <w:pStyle w:val="Heading2"/>
        <w:rPr>
          <w:rFonts w:ascii="Helvetica" w:hAnsi="Helvetica"/>
          <w:color w:val="2B41B1"/>
          <w:sz w:val="48"/>
          <w:szCs w:val="32"/>
        </w:rPr>
      </w:pPr>
      <w:r w:rsidRPr="00793596">
        <w:rPr>
          <w:rFonts w:ascii="Helvetica" w:hAnsi="Helvetica"/>
          <w:color w:val="2B41B1"/>
          <w:sz w:val="48"/>
          <w:szCs w:val="32"/>
        </w:rPr>
        <w:t>Statement of Advice inserts</w:t>
      </w:r>
      <w:r w:rsidRPr="00793596">
        <w:rPr>
          <w:rFonts w:ascii="Helvetica" w:hAnsi="Helvetica"/>
          <w:color w:val="2B41B1"/>
          <w:sz w:val="48"/>
          <w:szCs w:val="32"/>
        </w:rPr>
        <w:tab/>
      </w:r>
      <w:r w:rsidRPr="00793596">
        <w:rPr>
          <w:rFonts w:ascii="Helvetica" w:hAnsi="Helvetica"/>
          <w:color w:val="2B41B1"/>
          <w:sz w:val="48"/>
          <w:szCs w:val="32"/>
        </w:rPr>
        <w:tab/>
      </w:r>
      <w:r w:rsidRPr="00793596">
        <w:rPr>
          <w:rFonts w:ascii="Helvetica" w:hAnsi="Helvetica"/>
          <w:color w:val="2B41B1"/>
          <w:sz w:val="48"/>
          <w:szCs w:val="32"/>
        </w:rPr>
        <w:tab/>
      </w:r>
      <w:r w:rsidR="00B538D1" w:rsidRPr="00793596">
        <w:rPr>
          <w:rFonts w:ascii="Helvetica" w:hAnsi="Helvetica"/>
          <w:color w:val="2B41B1"/>
          <w:sz w:val="48"/>
          <w:szCs w:val="32"/>
        </w:rPr>
        <w:tab/>
      </w:r>
      <w:r w:rsidR="0010427C" w:rsidRPr="00793596">
        <w:rPr>
          <w:rFonts w:ascii="Helvetica" w:hAnsi="Helvetica"/>
          <w:noProof/>
          <w:color w:val="2B41B1"/>
          <w:sz w:val="48"/>
          <w:szCs w:val="32"/>
          <w:lang w:val="en-GB" w:eastAsia="en-GB"/>
        </w:rPr>
        <w:drawing>
          <wp:inline distT="0" distB="0" distL="0" distR="0" wp14:anchorId="681ED630" wp14:editId="020BEDEC">
            <wp:extent cx="216000" cy="2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ner Arro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C4539E" w:rsidRPr="00793596">
        <w:rPr>
          <w:rFonts w:ascii="Helvetica" w:hAnsi="Helvetica"/>
          <w:color w:val="2B41B1"/>
          <w:sz w:val="48"/>
          <w:szCs w:val="32"/>
        </w:rPr>
        <w:t xml:space="preserve"> </w:t>
      </w:r>
    </w:p>
    <w:p w14:paraId="5CA8F581" w14:textId="38971151" w:rsidR="00503FCB" w:rsidRPr="00793596" w:rsidRDefault="00BE6FA9" w:rsidP="007D619A">
      <w:pPr>
        <w:spacing w:before="120" w:after="0"/>
        <w:rPr>
          <w:rFonts w:ascii="Helvetica" w:eastAsiaTheme="majorEastAsia" w:hAnsi="Helvetica" w:cstheme="majorBidi"/>
          <w:color w:val="5E5D5D"/>
          <w:sz w:val="32"/>
          <w:szCs w:val="32"/>
        </w:rPr>
      </w:pPr>
      <w:r w:rsidRPr="00793596">
        <w:rPr>
          <w:rFonts w:ascii="Helvetica" w:eastAsiaTheme="majorEastAsia" w:hAnsi="Helvetica" w:cstheme="majorBidi"/>
          <w:color w:val="5E5D5D"/>
          <w:sz w:val="32"/>
          <w:szCs w:val="32"/>
        </w:rPr>
        <w:br/>
      </w:r>
      <w:bookmarkStart w:id="0" w:name="_Hlk41560842"/>
      <w:bookmarkStart w:id="1" w:name="_Hlk41561154"/>
      <w:r w:rsidR="00E27E5D" w:rsidRPr="00793596">
        <w:rPr>
          <w:rFonts w:ascii="Helvetica" w:eastAsiaTheme="majorEastAsia" w:hAnsi="Helvetica" w:cstheme="majorBidi"/>
          <w:color w:val="5E5D5D"/>
          <w:sz w:val="32"/>
          <w:szCs w:val="32"/>
        </w:rPr>
        <w:t>Generation Life Investment Bonds</w:t>
      </w:r>
      <w:r w:rsidR="00E27E5D" w:rsidRPr="00793596">
        <w:rPr>
          <w:rFonts w:ascii="Helvetica" w:hAnsi="Helvetica"/>
          <w:sz w:val="20"/>
          <w:szCs w:val="32"/>
        </w:rPr>
        <w:br/>
      </w:r>
      <w:r w:rsidR="00E27E5D" w:rsidRPr="00793596">
        <w:rPr>
          <w:rFonts w:ascii="Helvetica" w:eastAsiaTheme="majorEastAsia" w:hAnsi="Helvetica" w:cstheme="majorBidi"/>
          <w:color w:val="5E5D5D"/>
          <w:sz w:val="32"/>
          <w:szCs w:val="32"/>
        </w:rPr>
        <w:t xml:space="preserve">Fund manager change - </w:t>
      </w:r>
      <w:r w:rsidR="005E23AA">
        <w:rPr>
          <w:rFonts w:ascii="Helvetica" w:eastAsiaTheme="majorEastAsia" w:hAnsi="Helvetica" w:cstheme="majorBidi"/>
          <w:color w:val="5E5D5D"/>
          <w:sz w:val="32"/>
          <w:szCs w:val="32"/>
        </w:rPr>
        <w:t>Diversified growth</w:t>
      </w:r>
      <w:r w:rsidR="00E27E5D" w:rsidRPr="00793596">
        <w:rPr>
          <w:rFonts w:ascii="Helvetica" w:eastAsiaTheme="majorEastAsia" w:hAnsi="Helvetica" w:cstheme="majorBidi"/>
          <w:color w:val="5E5D5D"/>
          <w:sz w:val="32"/>
          <w:szCs w:val="32"/>
        </w:rPr>
        <w:t xml:space="preserve"> (</w:t>
      </w:r>
      <w:r w:rsidR="005E23AA" w:rsidRPr="00793596">
        <w:rPr>
          <w:rFonts w:ascii="Helvetica" w:eastAsiaTheme="majorEastAsia" w:hAnsi="Helvetica" w:cstheme="majorBidi"/>
          <w:color w:val="5E5D5D"/>
          <w:sz w:val="32"/>
          <w:szCs w:val="32"/>
        </w:rPr>
        <w:t>UF</w:t>
      </w:r>
      <w:r w:rsidR="005E23AA">
        <w:rPr>
          <w:rFonts w:ascii="Helvetica" w:eastAsiaTheme="majorEastAsia" w:hAnsi="Helvetica" w:cstheme="majorBidi"/>
          <w:color w:val="5E5D5D"/>
          <w:sz w:val="32"/>
          <w:szCs w:val="32"/>
        </w:rPr>
        <w:t>10</w:t>
      </w:r>
      <w:r w:rsidR="00503FCB" w:rsidRPr="00793596">
        <w:rPr>
          <w:rFonts w:ascii="Helvetica" w:eastAsiaTheme="majorEastAsia" w:hAnsi="Helvetica" w:cstheme="majorBidi"/>
          <w:color w:val="5E5D5D"/>
          <w:sz w:val="32"/>
          <w:szCs w:val="32"/>
        </w:rPr>
        <w:t>)</w:t>
      </w:r>
    </w:p>
    <w:p w14:paraId="0DDDAC3C" w14:textId="1680356F" w:rsidR="00E27E5D" w:rsidRPr="00793596" w:rsidRDefault="00503FCB" w:rsidP="00503FCB">
      <w:pPr>
        <w:spacing w:after="0"/>
        <w:rPr>
          <w:rFonts w:ascii="Helvetica" w:eastAsiaTheme="majorEastAsia" w:hAnsi="Helvetica" w:cstheme="majorBidi"/>
          <w:color w:val="5E5D5D"/>
          <w:sz w:val="32"/>
          <w:szCs w:val="32"/>
        </w:rPr>
      </w:pPr>
      <w:r w:rsidRPr="00793596">
        <w:rPr>
          <w:rFonts w:ascii="Helvetica" w:eastAsiaTheme="majorEastAsia" w:hAnsi="Helvetica" w:cstheme="majorBidi"/>
          <w:color w:val="5E5D5D"/>
          <w:sz w:val="32"/>
          <w:szCs w:val="32"/>
        </w:rPr>
        <w:t xml:space="preserve">Generation Life APIR code - </w:t>
      </w:r>
      <w:r w:rsidR="005E23AA" w:rsidRPr="00793596">
        <w:rPr>
          <w:rFonts w:ascii="Helvetica" w:eastAsiaTheme="majorEastAsia" w:hAnsi="Helvetica" w:cstheme="majorBidi"/>
          <w:color w:val="5E5D5D"/>
          <w:sz w:val="32"/>
          <w:szCs w:val="32"/>
        </w:rPr>
        <w:t>ALL00</w:t>
      </w:r>
      <w:r w:rsidR="005E23AA">
        <w:rPr>
          <w:rFonts w:ascii="Helvetica" w:eastAsiaTheme="majorEastAsia" w:hAnsi="Helvetica" w:cstheme="majorBidi"/>
          <w:color w:val="5E5D5D"/>
          <w:sz w:val="32"/>
          <w:szCs w:val="32"/>
        </w:rPr>
        <w:t>14</w:t>
      </w:r>
      <w:r w:rsidR="005E23AA" w:rsidRPr="00793596">
        <w:rPr>
          <w:rFonts w:ascii="Helvetica" w:eastAsiaTheme="majorEastAsia" w:hAnsi="Helvetica" w:cstheme="majorBidi"/>
          <w:color w:val="5E5D5D"/>
          <w:sz w:val="32"/>
          <w:szCs w:val="32"/>
        </w:rPr>
        <w:t>AU</w:t>
      </w:r>
    </w:p>
    <w:p w14:paraId="3B8DBB98" w14:textId="77777777" w:rsidR="00E27E5D" w:rsidRPr="00793596" w:rsidRDefault="00E27E5D" w:rsidP="00E27E5D">
      <w:pPr>
        <w:ind w:right="-75"/>
        <w:rPr>
          <w:rFonts w:ascii="Helvetica" w:hAnsi="Helvetica"/>
          <w:b/>
          <w:bCs/>
          <w:color w:val="2B41B1"/>
          <w:sz w:val="18"/>
          <w:szCs w:val="28"/>
        </w:rPr>
      </w:pPr>
    </w:p>
    <w:p w14:paraId="2B32CF8A" w14:textId="332F604A" w:rsidR="00E27E5D"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t>WHAT’S CHANGING?</w:t>
      </w:r>
    </w:p>
    <w:p w14:paraId="5750A684" w14:textId="77B8103E" w:rsidR="00E27E5D" w:rsidRPr="00793596" w:rsidRDefault="00E27E5D" w:rsidP="00E27E5D">
      <w:pPr>
        <w:ind w:right="-75"/>
        <w:rPr>
          <w:rFonts w:ascii="Helvetica" w:hAnsi="Helvetica"/>
          <w:sz w:val="18"/>
          <w:szCs w:val="18"/>
        </w:rPr>
      </w:pPr>
      <w:r w:rsidRPr="00793596">
        <w:rPr>
          <w:rFonts w:ascii="Helvetica" w:hAnsi="Helvetica"/>
          <w:sz w:val="18"/>
          <w:szCs w:val="18"/>
        </w:rPr>
        <w:t xml:space="preserve">The </w:t>
      </w:r>
      <w:r w:rsidR="005E23AA">
        <w:rPr>
          <w:rFonts w:ascii="Helvetica" w:hAnsi="Helvetica"/>
          <w:sz w:val="18"/>
          <w:szCs w:val="18"/>
        </w:rPr>
        <w:t xml:space="preserve">Russell Investments Balanced Fund </w:t>
      </w:r>
      <w:r w:rsidRPr="00793596">
        <w:rPr>
          <w:rFonts w:ascii="Helvetica" w:hAnsi="Helvetica"/>
          <w:sz w:val="18"/>
          <w:szCs w:val="18"/>
        </w:rPr>
        <w:t xml:space="preserve">- </w:t>
      </w:r>
      <w:r w:rsidR="005E23AA">
        <w:rPr>
          <w:rFonts w:ascii="Helvetica" w:hAnsi="Helvetica"/>
          <w:sz w:val="18"/>
          <w:szCs w:val="18"/>
        </w:rPr>
        <w:t xml:space="preserve">Diversified growth </w:t>
      </w:r>
      <w:r w:rsidRPr="00793596">
        <w:rPr>
          <w:rFonts w:ascii="Helvetica" w:hAnsi="Helvetica"/>
          <w:sz w:val="18"/>
          <w:szCs w:val="18"/>
        </w:rPr>
        <w:t xml:space="preserve">option (Fund Code </w:t>
      </w:r>
      <w:r w:rsidR="005E23AA" w:rsidRPr="00793596">
        <w:rPr>
          <w:rFonts w:ascii="Helvetica" w:hAnsi="Helvetica"/>
          <w:sz w:val="18"/>
          <w:szCs w:val="18"/>
        </w:rPr>
        <w:t>UF</w:t>
      </w:r>
      <w:r w:rsidR="005E23AA">
        <w:rPr>
          <w:rFonts w:ascii="Helvetica" w:hAnsi="Helvetica"/>
          <w:sz w:val="18"/>
          <w:szCs w:val="18"/>
        </w:rPr>
        <w:t>10</w:t>
      </w:r>
      <w:r w:rsidRPr="00793596">
        <w:rPr>
          <w:rFonts w:ascii="Helvetica" w:hAnsi="Helvetica"/>
          <w:sz w:val="18"/>
          <w:szCs w:val="18"/>
        </w:rPr>
        <w:t xml:space="preserve">) </w:t>
      </w:r>
      <w:r w:rsidR="00EB6AC7">
        <w:rPr>
          <w:rFonts w:ascii="Helvetica" w:hAnsi="Helvetica"/>
          <w:sz w:val="18"/>
          <w:szCs w:val="18"/>
        </w:rPr>
        <w:t>’(‘</w:t>
      </w:r>
      <w:r w:rsidR="00333D42">
        <w:rPr>
          <w:rFonts w:ascii="Helvetica" w:hAnsi="Helvetica"/>
          <w:sz w:val="18"/>
          <w:szCs w:val="18"/>
        </w:rPr>
        <w:t>Fund</w:t>
      </w:r>
      <w:r w:rsidR="00EB6AC7">
        <w:rPr>
          <w:rFonts w:ascii="Helvetica" w:hAnsi="Helvetica"/>
          <w:sz w:val="18"/>
          <w:szCs w:val="18"/>
        </w:rPr>
        <w:t>’</w:t>
      </w:r>
      <w:r w:rsidR="00333D42">
        <w:rPr>
          <w:rFonts w:ascii="Helvetica" w:hAnsi="Helvetica"/>
          <w:sz w:val="18"/>
          <w:szCs w:val="18"/>
        </w:rPr>
        <w:t xml:space="preserve">) </w:t>
      </w:r>
      <w:r w:rsidRPr="00793596">
        <w:rPr>
          <w:rFonts w:ascii="Helvetica" w:hAnsi="Helvetica"/>
          <w:sz w:val="18"/>
          <w:szCs w:val="18"/>
        </w:rPr>
        <w:t xml:space="preserve">is changing </w:t>
      </w:r>
      <w:r w:rsidR="00236FCE">
        <w:rPr>
          <w:rFonts w:ascii="Helvetica" w:hAnsi="Helvetica"/>
          <w:sz w:val="18"/>
          <w:szCs w:val="18"/>
        </w:rPr>
        <w:t xml:space="preserve">investment </w:t>
      </w:r>
      <w:r w:rsidRPr="00793596">
        <w:rPr>
          <w:rFonts w:ascii="Helvetica" w:hAnsi="Helvetica"/>
          <w:sz w:val="18"/>
          <w:szCs w:val="18"/>
        </w:rPr>
        <w:t>manager.</w:t>
      </w:r>
    </w:p>
    <w:p w14:paraId="4C10F76F" w14:textId="27E1750C" w:rsidR="00E27E5D" w:rsidRPr="00793596" w:rsidRDefault="005E23AA" w:rsidP="00E27E5D">
      <w:pPr>
        <w:ind w:right="-75"/>
        <w:rPr>
          <w:rFonts w:ascii="Helvetica" w:hAnsi="Helvetica"/>
          <w:sz w:val="18"/>
          <w:szCs w:val="18"/>
        </w:rPr>
      </w:pPr>
      <w:r>
        <w:rPr>
          <w:rFonts w:ascii="Helvetica" w:hAnsi="Helvetica"/>
          <w:sz w:val="18"/>
          <w:szCs w:val="18"/>
        </w:rPr>
        <w:t xml:space="preserve">Russell </w:t>
      </w:r>
      <w:r w:rsidR="00E27E5D" w:rsidRPr="00793596">
        <w:rPr>
          <w:rFonts w:ascii="Helvetica" w:hAnsi="Helvetica"/>
          <w:sz w:val="18"/>
          <w:szCs w:val="18"/>
        </w:rPr>
        <w:t xml:space="preserve">Investment Management Limited is being replaced as the investment option’s manager </w:t>
      </w:r>
      <w:r w:rsidR="001B1040">
        <w:rPr>
          <w:rFonts w:ascii="Helvetica" w:hAnsi="Helvetica"/>
          <w:sz w:val="18"/>
          <w:szCs w:val="18"/>
        </w:rPr>
        <w:t>by</w:t>
      </w:r>
      <w:r w:rsidR="00E27E5D" w:rsidRPr="00793596">
        <w:rPr>
          <w:rFonts w:ascii="Helvetica" w:hAnsi="Helvetica"/>
          <w:sz w:val="18"/>
          <w:szCs w:val="18"/>
        </w:rPr>
        <w:t xml:space="preserve"> </w:t>
      </w:r>
      <w:r w:rsidR="0001464E">
        <w:rPr>
          <w:rFonts w:ascii="Helvetica" w:hAnsi="Helvetica"/>
          <w:sz w:val="18"/>
          <w:szCs w:val="18"/>
        </w:rPr>
        <w:t xml:space="preserve">FIL </w:t>
      </w:r>
      <w:r w:rsidR="00E27E5D" w:rsidRPr="00793596">
        <w:rPr>
          <w:rFonts w:ascii="Helvetica" w:hAnsi="Helvetica"/>
          <w:sz w:val="18"/>
          <w:szCs w:val="18"/>
        </w:rPr>
        <w:t>Investment Management (Australia) Limited</w:t>
      </w:r>
      <w:r w:rsidR="0001464E">
        <w:rPr>
          <w:rFonts w:ascii="Helvetica" w:hAnsi="Helvetica"/>
          <w:sz w:val="18"/>
          <w:szCs w:val="18"/>
        </w:rPr>
        <w:t xml:space="preserve"> </w:t>
      </w:r>
      <w:r w:rsidR="00333D42">
        <w:rPr>
          <w:rFonts w:ascii="Helvetica" w:hAnsi="Helvetica"/>
          <w:sz w:val="18"/>
          <w:szCs w:val="18"/>
        </w:rPr>
        <w:t>(</w:t>
      </w:r>
      <w:r w:rsidR="00EB6AC7">
        <w:rPr>
          <w:rFonts w:ascii="Helvetica" w:hAnsi="Helvetica"/>
          <w:sz w:val="18"/>
          <w:szCs w:val="18"/>
        </w:rPr>
        <w:t>‘</w:t>
      </w:r>
      <w:r w:rsidR="00333D42">
        <w:rPr>
          <w:rFonts w:ascii="Helvetica" w:hAnsi="Helvetica"/>
          <w:sz w:val="18"/>
          <w:szCs w:val="18"/>
        </w:rPr>
        <w:t>Fidelity</w:t>
      </w:r>
      <w:r w:rsidR="00EB6AC7">
        <w:rPr>
          <w:rFonts w:ascii="Helvetica" w:hAnsi="Helvetica"/>
          <w:sz w:val="18"/>
          <w:szCs w:val="18"/>
        </w:rPr>
        <w:t>’</w:t>
      </w:r>
      <w:r w:rsidR="00333D42">
        <w:rPr>
          <w:rFonts w:ascii="Helvetica" w:hAnsi="Helvetica"/>
          <w:sz w:val="18"/>
          <w:szCs w:val="18"/>
        </w:rPr>
        <w:t xml:space="preserve">) </w:t>
      </w:r>
      <w:r w:rsidR="00782735">
        <w:rPr>
          <w:rFonts w:ascii="Helvetica" w:hAnsi="Helvetica"/>
          <w:sz w:val="18"/>
          <w:szCs w:val="18"/>
        </w:rPr>
        <w:t xml:space="preserve">on </w:t>
      </w:r>
      <w:r w:rsidR="00345F1E">
        <w:rPr>
          <w:rFonts w:ascii="Helvetica" w:hAnsi="Helvetica"/>
          <w:sz w:val="18"/>
          <w:szCs w:val="18"/>
        </w:rPr>
        <w:t xml:space="preserve">25 </w:t>
      </w:r>
      <w:r w:rsidR="001D4EEB">
        <w:rPr>
          <w:rFonts w:ascii="Helvetica" w:hAnsi="Helvetica"/>
          <w:sz w:val="18"/>
          <w:szCs w:val="18"/>
        </w:rPr>
        <w:t>August</w:t>
      </w:r>
      <w:r w:rsidR="00782735">
        <w:rPr>
          <w:rFonts w:ascii="Helvetica" w:hAnsi="Helvetica"/>
          <w:sz w:val="18"/>
          <w:szCs w:val="18"/>
        </w:rPr>
        <w:t xml:space="preserve"> 2023</w:t>
      </w:r>
      <w:r w:rsidR="00E27E5D" w:rsidRPr="00793596">
        <w:rPr>
          <w:rFonts w:ascii="Helvetica" w:hAnsi="Helvetica"/>
          <w:sz w:val="18"/>
          <w:szCs w:val="18"/>
        </w:rPr>
        <w:t xml:space="preserve">. </w:t>
      </w:r>
      <w:r>
        <w:rPr>
          <w:rFonts w:ascii="Helvetica" w:hAnsi="Helvetica"/>
          <w:sz w:val="18"/>
          <w:szCs w:val="18"/>
        </w:rPr>
        <w:t>There is no change to the investment strategy and asset allocation ranges for the strategy, however, the tax aware level has been upgraded to a Tax Optimised level reflecting the approach that the new strategy will take in managing the cost of tax within the investment</w:t>
      </w:r>
      <w:r w:rsidR="00E27E5D" w:rsidRPr="00793596">
        <w:rPr>
          <w:rFonts w:ascii="Helvetica" w:hAnsi="Helvetica"/>
          <w:sz w:val="18"/>
          <w:szCs w:val="18"/>
        </w:rPr>
        <w:t>.</w:t>
      </w:r>
    </w:p>
    <w:p w14:paraId="41F1433A" w14:textId="77777777" w:rsidR="00E27E5D"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t>WHY IS IT CHANGING?</w:t>
      </w:r>
    </w:p>
    <w:p w14:paraId="5FACE31B" w14:textId="77777777" w:rsidR="00E27E5D" w:rsidRPr="00793596" w:rsidRDefault="00E27E5D" w:rsidP="00E27E5D">
      <w:pPr>
        <w:ind w:right="-75"/>
        <w:rPr>
          <w:rFonts w:ascii="Helvetica" w:hAnsi="Helvetica"/>
          <w:sz w:val="18"/>
          <w:szCs w:val="18"/>
        </w:rPr>
      </w:pPr>
      <w:r w:rsidRPr="00793596">
        <w:rPr>
          <w:rFonts w:ascii="Helvetica" w:hAnsi="Helvetica"/>
          <w:sz w:val="18"/>
          <w:szCs w:val="18"/>
        </w:rPr>
        <w:t>Generation Life conducts regular reviews of investment managers and investment strategies to determine whether performance of the underlying investment manager and strategy is in line with the stated investment objectives and is meeting investor and Generation Life’s required investment outcomes.</w:t>
      </w:r>
    </w:p>
    <w:p w14:paraId="06917740" w14:textId="0F5416F1" w:rsidR="00E27E5D" w:rsidRPr="00793596" w:rsidRDefault="00E27E5D" w:rsidP="00E27E5D">
      <w:pPr>
        <w:ind w:right="-75"/>
        <w:rPr>
          <w:rFonts w:ascii="Helvetica" w:hAnsi="Helvetica"/>
          <w:sz w:val="18"/>
          <w:szCs w:val="18"/>
        </w:rPr>
      </w:pPr>
      <w:bookmarkStart w:id="2" w:name="_Hlk140074586"/>
      <w:r w:rsidRPr="00793596">
        <w:rPr>
          <w:rFonts w:ascii="Helvetica" w:hAnsi="Helvetica"/>
          <w:sz w:val="18"/>
          <w:szCs w:val="18"/>
        </w:rPr>
        <w:t xml:space="preserve">As part of their review, Generation Life has determined that a more appropriate investment </w:t>
      </w:r>
      <w:r w:rsidR="005E23AA">
        <w:rPr>
          <w:rFonts w:ascii="Helvetica" w:hAnsi="Helvetica"/>
          <w:sz w:val="18"/>
          <w:szCs w:val="18"/>
        </w:rPr>
        <w:t xml:space="preserve">approach </w:t>
      </w:r>
      <w:r w:rsidRPr="00793596">
        <w:rPr>
          <w:rFonts w:ascii="Helvetica" w:hAnsi="Helvetica"/>
          <w:sz w:val="18"/>
          <w:szCs w:val="18"/>
        </w:rPr>
        <w:t xml:space="preserve">for the above-mentioned investment option is </w:t>
      </w:r>
      <w:r w:rsidR="005E23AA">
        <w:rPr>
          <w:rFonts w:ascii="Helvetica" w:hAnsi="Helvetica"/>
          <w:sz w:val="18"/>
          <w:szCs w:val="18"/>
        </w:rPr>
        <w:t>by utilising the investment management capabilities of Fidelity</w:t>
      </w:r>
      <w:r w:rsidRPr="00793596">
        <w:rPr>
          <w:rFonts w:ascii="Helvetica" w:hAnsi="Helvetica"/>
          <w:sz w:val="18"/>
          <w:szCs w:val="18"/>
        </w:rPr>
        <w:t xml:space="preserve">. Generation Life believes that </w:t>
      </w:r>
      <w:r w:rsidR="005E23AA">
        <w:rPr>
          <w:rFonts w:ascii="Helvetica" w:hAnsi="Helvetica"/>
          <w:sz w:val="18"/>
          <w:szCs w:val="18"/>
        </w:rPr>
        <w:t xml:space="preserve">the new approach </w:t>
      </w:r>
      <w:r w:rsidRPr="00793596">
        <w:rPr>
          <w:rFonts w:ascii="Helvetica" w:hAnsi="Helvetica"/>
          <w:sz w:val="18"/>
          <w:szCs w:val="18"/>
        </w:rPr>
        <w:t>is expected to deliver superior after-tax return outcomes over the long-term through the investment bond structure</w:t>
      </w:r>
      <w:r w:rsidR="00D41F52">
        <w:rPr>
          <w:rFonts w:ascii="Helvetica" w:hAnsi="Helvetica"/>
          <w:sz w:val="18"/>
          <w:szCs w:val="18"/>
        </w:rPr>
        <w:t xml:space="preserve"> with a focus on delivering </w:t>
      </w:r>
      <w:r w:rsidR="004A439D">
        <w:rPr>
          <w:rFonts w:ascii="Helvetica" w:hAnsi="Helvetica"/>
          <w:sz w:val="18"/>
          <w:szCs w:val="18"/>
        </w:rPr>
        <w:t>higher annualised</w:t>
      </w:r>
      <w:r w:rsidR="00D41F52">
        <w:rPr>
          <w:rFonts w:ascii="Helvetica" w:hAnsi="Helvetica"/>
          <w:sz w:val="18"/>
          <w:szCs w:val="18"/>
        </w:rPr>
        <w:t xml:space="preserve"> unrealised capital </w:t>
      </w:r>
      <w:r w:rsidR="004A439D">
        <w:rPr>
          <w:rFonts w:ascii="Helvetica" w:hAnsi="Helvetica"/>
          <w:sz w:val="18"/>
          <w:szCs w:val="18"/>
        </w:rPr>
        <w:t>gain in the portfolio</w:t>
      </w:r>
      <w:r w:rsidR="005A166B">
        <w:rPr>
          <w:rFonts w:ascii="Helvetica" w:hAnsi="Helvetica"/>
          <w:sz w:val="18"/>
          <w:szCs w:val="18"/>
        </w:rPr>
        <w:t xml:space="preserve"> rather than </w:t>
      </w:r>
      <w:r w:rsidR="00321EFD">
        <w:rPr>
          <w:rFonts w:ascii="Helvetica" w:hAnsi="Helvetica"/>
          <w:sz w:val="18"/>
          <w:szCs w:val="18"/>
        </w:rPr>
        <w:t>high levels of annual income which is taxable inside the structure</w:t>
      </w:r>
      <w:r w:rsidRPr="00793596">
        <w:rPr>
          <w:rFonts w:ascii="Helvetica" w:hAnsi="Helvetica"/>
          <w:sz w:val="18"/>
          <w:szCs w:val="18"/>
        </w:rPr>
        <w:t xml:space="preserve">. </w:t>
      </w:r>
    </w:p>
    <w:p w14:paraId="15989012" w14:textId="1725A792" w:rsidR="00E27E5D" w:rsidRPr="00793596" w:rsidRDefault="00E27E5D" w:rsidP="00E27E5D">
      <w:pPr>
        <w:ind w:right="-75"/>
        <w:rPr>
          <w:rFonts w:ascii="Helvetica" w:hAnsi="Helvetica"/>
          <w:sz w:val="18"/>
          <w:szCs w:val="18"/>
        </w:rPr>
      </w:pPr>
      <w:r w:rsidRPr="00793596">
        <w:rPr>
          <w:rFonts w:ascii="Helvetica" w:hAnsi="Helvetica"/>
          <w:sz w:val="18"/>
          <w:szCs w:val="18"/>
        </w:rPr>
        <w:t xml:space="preserve">More specifically, the </w:t>
      </w:r>
      <w:r w:rsidR="005E23AA">
        <w:rPr>
          <w:rFonts w:ascii="Helvetica" w:hAnsi="Helvetica"/>
          <w:sz w:val="18"/>
          <w:szCs w:val="18"/>
        </w:rPr>
        <w:t>Russell Investment</w:t>
      </w:r>
      <w:r w:rsidR="001B1040">
        <w:rPr>
          <w:rFonts w:ascii="Helvetica" w:hAnsi="Helvetica"/>
          <w:sz w:val="18"/>
          <w:szCs w:val="18"/>
        </w:rPr>
        <w:t>s</w:t>
      </w:r>
      <w:r w:rsidR="005E23AA">
        <w:rPr>
          <w:rFonts w:ascii="Helvetica" w:hAnsi="Helvetica"/>
          <w:sz w:val="18"/>
          <w:szCs w:val="18"/>
        </w:rPr>
        <w:t xml:space="preserve"> Balanced Fund </w:t>
      </w:r>
      <w:r w:rsidRPr="00793596">
        <w:rPr>
          <w:rFonts w:ascii="Helvetica" w:hAnsi="Helvetica"/>
          <w:sz w:val="18"/>
          <w:szCs w:val="18"/>
        </w:rPr>
        <w:t xml:space="preserve">strategy has underperformed relative to the </w:t>
      </w:r>
      <w:r w:rsidR="005E23AA">
        <w:rPr>
          <w:rFonts w:ascii="Helvetica" w:hAnsi="Helvetica"/>
          <w:sz w:val="18"/>
          <w:szCs w:val="18"/>
        </w:rPr>
        <w:t xml:space="preserve">composite benchmark index return </w:t>
      </w:r>
      <w:r w:rsidRPr="00793596">
        <w:rPr>
          <w:rFonts w:ascii="Helvetica" w:hAnsi="Helvetica"/>
          <w:sz w:val="18"/>
          <w:szCs w:val="18"/>
        </w:rPr>
        <w:t>(on a pre-fee and pre-tax basis).</w:t>
      </w:r>
      <w:r w:rsidR="00DF102C">
        <w:rPr>
          <w:rFonts w:ascii="Helvetica" w:hAnsi="Helvetica"/>
          <w:sz w:val="18"/>
          <w:szCs w:val="18"/>
        </w:rPr>
        <w:t xml:space="preserve"> </w:t>
      </w:r>
      <w:r w:rsidRPr="00793596">
        <w:rPr>
          <w:rFonts w:ascii="Helvetica" w:hAnsi="Helvetica"/>
          <w:sz w:val="18"/>
          <w:szCs w:val="18"/>
        </w:rPr>
        <w:t xml:space="preserve">Additionally, the proposed investment arrangement to be employed by Generation Life with </w:t>
      </w:r>
      <w:r w:rsidR="00DC1FDC">
        <w:rPr>
          <w:rFonts w:ascii="Helvetica" w:hAnsi="Helvetica"/>
          <w:sz w:val="18"/>
          <w:szCs w:val="18"/>
        </w:rPr>
        <w:t xml:space="preserve">Fidelity </w:t>
      </w:r>
      <w:r w:rsidRPr="00793596">
        <w:rPr>
          <w:rFonts w:ascii="Helvetica" w:hAnsi="Helvetica"/>
          <w:sz w:val="18"/>
          <w:szCs w:val="18"/>
        </w:rPr>
        <w:t>aims to deliver additional after-tax return benefits</w:t>
      </w:r>
      <w:r w:rsidR="00DC1FDC">
        <w:rPr>
          <w:rFonts w:ascii="Helvetica" w:hAnsi="Helvetica"/>
          <w:sz w:val="18"/>
          <w:szCs w:val="18"/>
        </w:rPr>
        <w:t xml:space="preserve"> through </w:t>
      </w:r>
      <w:r w:rsidR="00345F1E">
        <w:rPr>
          <w:rFonts w:ascii="Helvetica" w:hAnsi="Helvetica"/>
          <w:sz w:val="18"/>
          <w:szCs w:val="18"/>
        </w:rPr>
        <w:t xml:space="preserve">an optimised </w:t>
      </w:r>
      <w:r w:rsidR="00DC1FDC">
        <w:rPr>
          <w:rFonts w:ascii="Helvetica" w:hAnsi="Helvetica"/>
          <w:sz w:val="18"/>
          <w:szCs w:val="18"/>
        </w:rPr>
        <w:t>tax management arrangement and process</w:t>
      </w:r>
      <w:r w:rsidRPr="00793596">
        <w:rPr>
          <w:rFonts w:ascii="Helvetica" w:hAnsi="Helvetica"/>
          <w:sz w:val="18"/>
          <w:szCs w:val="18"/>
        </w:rPr>
        <w:t>.</w:t>
      </w:r>
      <w:bookmarkEnd w:id="2"/>
    </w:p>
    <w:p w14:paraId="2971F3FE" w14:textId="77777777" w:rsidR="0060610C" w:rsidRDefault="0060610C">
      <w:pPr>
        <w:spacing w:after="0" w:line="240" w:lineRule="auto"/>
        <w:rPr>
          <w:rFonts w:ascii="Helvetica" w:hAnsi="Helvetica"/>
          <w:b/>
          <w:bCs/>
          <w:color w:val="2B41B1"/>
          <w:sz w:val="18"/>
          <w:szCs w:val="18"/>
        </w:rPr>
      </w:pPr>
      <w:r>
        <w:rPr>
          <w:rFonts w:ascii="Helvetica" w:hAnsi="Helvetica"/>
          <w:b/>
          <w:bCs/>
          <w:color w:val="2B41B1"/>
          <w:sz w:val="18"/>
          <w:szCs w:val="18"/>
        </w:rPr>
        <w:br w:type="page"/>
      </w:r>
    </w:p>
    <w:p w14:paraId="6A2C1FD5" w14:textId="490394D8" w:rsidR="00B538D1"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lastRenderedPageBreak/>
        <w:t>COMPARISON OF STRATEGIES</w:t>
      </w:r>
    </w:p>
    <w:tbl>
      <w:tblPr>
        <w:tblStyle w:val="TableGrid"/>
        <w:tblW w:w="10206" w:type="dxa"/>
        <w:tblBorders>
          <w:top w:val="none" w:sz="0" w:space="0" w:color="auto"/>
          <w:left w:val="none" w:sz="0" w:space="0" w:color="auto"/>
          <w:bottom w:val="none" w:sz="0" w:space="0" w:color="auto"/>
          <w:right w:val="none" w:sz="0" w:space="0" w:color="auto"/>
          <w:insideH w:val="single" w:sz="2" w:space="0" w:color="A3A3A3"/>
          <w:insideV w:val="none" w:sz="0" w:space="0" w:color="auto"/>
        </w:tblBorders>
        <w:tblCellMar>
          <w:top w:w="85" w:type="dxa"/>
          <w:left w:w="0" w:type="dxa"/>
          <w:bottom w:w="85" w:type="dxa"/>
        </w:tblCellMar>
        <w:tblLook w:val="04A0" w:firstRow="1" w:lastRow="0" w:firstColumn="1" w:lastColumn="0" w:noHBand="0" w:noVBand="1"/>
      </w:tblPr>
      <w:tblGrid>
        <w:gridCol w:w="2410"/>
        <w:gridCol w:w="3898"/>
        <w:gridCol w:w="3898"/>
      </w:tblGrid>
      <w:tr w:rsidR="001E42FE" w:rsidRPr="0060610C" w14:paraId="3D437B3A" w14:textId="77777777" w:rsidTr="002E5240">
        <w:trPr>
          <w:cantSplit/>
          <w:trHeight w:val="308"/>
          <w:tblHeader/>
        </w:trPr>
        <w:tc>
          <w:tcPr>
            <w:tcW w:w="2410" w:type="dxa"/>
          </w:tcPr>
          <w:p w14:paraId="317DF2DF" w14:textId="0E75116D" w:rsidR="001E42FE" w:rsidRPr="00CA2956" w:rsidRDefault="001E42FE" w:rsidP="009479DE">
            <w:pPr>
              <w:pStyle w:val="TableHeading"/>
              <w:spacing w:line="240" w:lineRule="auto"/>
              <w:rPr>
                <w:rFonts w:ascii="Helvetica" w:hAnsi="Helvetica"/>
                <w:b/>
                <w:bCs/>
                <w:szCs w:val="16"/>
              </w:rPr>
            </w:pPr>
          </w:p>
        </w:tc>
        <w:tc>
          <w:tcPr>
            <w:tcW w:w="3898" w:type="dxa"/>
            <w:shd w:val="clear" w:color="auto" w:fill="auto"/>
          </w:tcPr>
          <w:p w14:paraId="47DB3226" w14:textId="759D0604" w:rsidR="001E42FE" w:rsidRPr="00CA2956" w:rsidRDefault="007E0A9C"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 xml:space="preserve">Russell </w:t>
            </w:r>
            <w:r w:rsidR="0001464E" w:rsidRPr="00CA2956">
              <w:rPr>
                <w:rFonts w:ascii="Helvetica" w:hAnsi="Helvetica" w:cs="Arial"/>
                <w:b/>
                <w:bCs/>
                <w:sz w:val="16"/>
                <w:szCs w:val="16"/>
              </w:rPr>
              <w:t xml:space="preserve">Investments </w:t>
            </w:r>
            <w:r w:rsidRPr="00CA2956">
              <w:rPr>
                <w:rFonts w:ascii="Helvetica" w:hAnsi="Helvetica" w:cs="Arial"/>
                <w:b/>
                <w:bCs/>
                <w:sz w:val="16"/>
                <w:szCs w:val="16"/>
              </w:rPr>
              <w:t xml:space="preserve">Balanced Fund </w:t>
            </w:r>
            <w:r w:rsidR="001E42FE" w:rsidRPr="00CA2956">
              <w:rPr>
                <w:rFonts w:ascii="Helvetica" w:hAnsi="Helvetica" w:cs="Arial"/>
                <w:b/>
                <w:bCs/>
                <w:sz w:val="16"/>
                <w:szCs w:val="16"/>
              </w:rPr>
              <w:t>(CURRENT)</w:t>
            </w:r>
          </w:p>
        </w:tc>
        <w:tc>
          <w:tcPr>
            <w:tcW w:w="3898" w:type="dxa"/>
            <w:shd w:val="clear" w:color="auto" w:fill="auto"/>
          </w:tcPr>
          <w:p w14:paraId="3F1FAD2D" w14:textId="506EB047" w:rsidR="001E42FE" w:rsidRPr="00CA2956" w:rsidRDefault="007E0A9C"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 xml:space="preserve">Generation Life Tax Effective </w:t>
            </w:r>
            <w:r w:rsidR="005E23AA" w:rsidRPr="00CA2956">
              <w:rPr>
                <w:rFonts w:ascii="Helvetica" w:hAnsi="Helvetica" w:cs="Arial"/>
                <w:b/>
                <w:bCs/>
                <w:sz w:val="16"/>
                <w:szCs w:val="16"/>
              </w:rPr>
              <w:t>G</w:t>
            </w:r>
            <w:r w:rsidRPr="00CA2956">
              <w:rPr>
                <w:rFonts w:ascii="Helvetica" w:hAnsi="Helvetica" w:cs="Arial"/>
                <w:b/>
                <w:bCs/>
                <w:sz w:val="16"/>
                <w:szCs w:val="16"/>
              </w:rPr>
              <w:t xml:space="preserve">rowth </w:t>
            </w:r>
            <w:r w:rsidR="005E23AA" w:rsidRPr="00CA2956">
              <w:rPr>
                <w:rFonts w:ascii="Helvetica" w:hAnsi="Helvetica" w:cs="Arial"/>
                <w:b/>
                <w:bCs/>
                <w:sz w:val="16"/>
                <w:szCs w:val="16"/>
              </w:rPr>
              <w:t>Fund</w:t>
            </w:r>
            <w:r w:rsidRPr="00CA2956">
              <w:rPr>
                <w:rFonts w:ascii="Helvetica" w:hAnsi="Helvetica" w:cs="Arial"/>
                <w:b/>
                <w:bCs/>
                <w:sz w:val="16"/>
                <w:szCs w:val="16"/>
              </w:rPr>
              <w:t xml:space="preserve"> </w:t>
            </w:r>
            <w:r w:rsidR="001E42FE" w:rsidRPr="00CA2956">
              <w:rPr>
                <w:rFonts w:ascii="Helvetica" w:hAnsi="Helvetica" w:cs="Arial"/>
                <w:b/>
                <w:bCs/>
                <w:sz w:val="16"/>
                <w:szCs w:val="16"/>
              </w:rPr>
              <w:t>(NEW)</w:t>
            </w:r>
          </w:p>
        </w:tc>
      </w:tr>
      <w:tr w:rsidR="003A00AF" w:rsidRPr="0060610C" w14:paraId="10AD6584" w14:textId="77777777" w:rsidTr="002E5240">
        <w:trPr>
          <w:cantSplit/>
          <w:trHeight w:val="308"/>
        </w:trPr>
        <w:tc>
          <w:tcPr>
            <w:tcW w:w="2410" w:type="dxa"/>
          </w:tcPr>
          <w:p w14:paraId="13430C18" w14:textId="54935463"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Underlying strategy APIR code</w:t>
            </w:r>
          </w:p>
        </w:tc>
        <w:tc>
          <w:tcPr>
            <w:tcW w:w="3898" w:type="dxa"/>
            <w:shd w:val="clear" w:color="auto" w:fill="auto"/>
          </w:tcPr>
          <w:p w14:paraId="0E33B396" w14:textId="268B203E" w:rsidR="003A00AF" w:rsidRPr="00CA2956" w:rsidRDefault="00782735" w:rsidP="009479DE">
            <w:pPr>
              <w:pStyle w:val="TableHeading2"/>
              <w:spacing w:line="240" w:lineRule="auto"/>
              <w:rPr>
                <w:rFonts w:ascii="Helvetica" w:hAnsi="Helvetica" w:cs="Arial"/>
                <w:b/>
                <w:bCs/>
                <w:sz w:val="16"/>
                <w:szCs w:val="16"/>
              </w:rPr>
            </w:pPr>
            <w:r w:rsidRPr="00CA2956">
              <w:rPr>
                <w:rFonts w:ascii="Helvetica" w:hAnsi="Helvetica" w:cs="Arial"/>
                <w:b/>
                <w:bCs/>
                <w:sz w:val="16"/>
                <w:szCs w:val="16"/>
              </w:rPr>
              <w:t>RIM0001AU</w:t>
            </w:r>
          </w:p>
        </w:tc>
        <w:tc>
          <w:tcPr>
            <w:tcW w:w="3898" w:type="dxa"/>
            <w:shd w:val="clear" w:color="auto" w:fill="auto"/>
          </w:tcPr>
          <w:p w14:paraId="707D442D" w14:textId="1C50F60E" w:rsidR="003A00AF" w:rsidRPr="00CA2956" w:rsidRDefault="00BF772F" w:rsidP="009479DE">
            <w:pPr>
              <w:pStyle w:val="TableHeading2"/>
              <w:spacing w:line="240" w:lineRule="auto"/>
              <w:rPr>
                <w:rFonts w:ascii="Helvetica" w:hAnsi="Helvetica" w:cs="Arial"/>
                <w:b/>
                <w:bCs/>
                <w:sz w:val="16"/>
                <w:szCs w:val="16"/>
              </w:rPr>
            </w:pPr>
            <w:r w:rsidRPr="00CA2956">
              <w:rPr>
                <w:rFonts w:ascii="Helvetica" w:hAnsi="Helvetica" w:cs="Arial"/>
                <w:b/>
                <w:bCs/>
                <w:sz w:val="16"/>
                <w:szCs w:val="16"/>
              </w:rPr>
              <w:t>ALL0014AU</w:t>
            </w:r>
          </w:p>
        </w:tc>
      </w:tr>
      <w:tr w:rsidR="001E42FE" w:rsidRPr="0060610C" w14:paraId="7D1EC254" w14:textId="77777777" w:rsidTr="002E5240">
        <w:trPr>
          <w:cantSplit/>
          <w:trHeight w:val="308"/>
        </w:trPr>
        <w:tc>
          <w:tcPr>
            <w:tcW w:w="2410" w:type="dxa"/>
          </w:tcPr>
          <w:p w14:paraId="60DB3EC7" w14:textId="6EAE048B" w:rsidR="001E42FE" w:rsidRPr="00CA2956" w:rsidRDefault="001E42FE"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Sector</w:t>
            </w:r>
          </w:p>
        </w:tc>
        <w:tc>
          <w:tcPr>
            <w:tcW w:w="3898" w:type="dxa"/>
            <w:shd w:val="clear" w:color="auto" w:fill="auto"/>
          </w:tcPr>
          <w:p w14:paraId="560448E9" w14:textId="519DF3BB" w:rsidR="001E42FE" w:rsidRPr="00CA2956" w:rsidRDefault="00782735" w:rsidP="009479DE">
            <w:pPr>
              <w:pStyle w:val="TableHeading2"/>
              <w:spacing w:line="240" w:lineRule="auto"/>
              <w:rPr>
                <w:rFonts w:ascii="Helvetica" w:hAnsi="Helvetica"/>
                <w:sz w:val="16"/>
                <w:szCs w:val="16"/>
              </w:rPr>
            </w:pPr>
            <w:r w:rsidRPr="00CA2956">
              <w:rPr>
                <w:rFonts w:ascii="Helvetica" w:hAnsi="Helvetica" w:cs="Arial"/>
                <w:sz w:val="16"/>
                <w:szCs w:val="16"/>
              </w:rPr>
              <w:t>Diversified growth</w:t>
            </w:r>
          </w:p>
        </w:tc>
        <w:tc>
          <w:tcPr>
            <w:tcW w:w="3898" w:type="dxa"/>
            <w:shd w:val="clear" w:color="auto" w:fill="auto"/>
          </w:tcPr>
          <w:p w14:paraId="7D6DECB4" w14:textId="5616AEA6" w:rsidR="001E42FE" w:rsidRPr="00CA2956" w:rsidRDefault="00782735" w:rsidP="009479DE">
            <w:pPr>
              <w:pStyle w:val="TableHeading2"/>
              <w:spacing w:line="240" w:lineRule="auto"/>
              <w:rPr>
                <w:rFonts w:ascii="Helvetica" w:hAnsi="Helvetica"/>
                <w:sz w:val="16"/>
                <w:szCs w:val="16"/>
              </w:rPr>
            </w:pPr>
            <w:r w:rsidRPr="00CA2956">
              <w:rPr>
                <w:rFonts w:ascii="Helvetica" w:hAnsi="Helvetica" w:cs="Arial"/>
                <w:sz w:val="16"/>
                <w:szCs w:val="16"/>
              </w:rPr>
              <w:t>Diversified growth</w:t>
            </w:r>
          </w:p>
        </w:tc>
      </w:tr>
      <w:tr w:rsidR="001E42FE" w:rsidRPr="0060610C" w14:paraId="38D8769D" w14:textId="77777777" w:rsidTr="002E5240">
        <w:trPr>
          <w:cantSplit/>
          <w:trHeight w:val="308"/>
        </w:trPr>
        <w:tc>
          <w:tcPr>
            <w:tcW w:w="2410" w:type="dxa"/>
          </w:tcPr>
          <w:p w14:paraId="201203FB" w14:textId="54377289" w:rsidR="001E42FE" w:rsidRPr="00CA2956" w:rsidRDefault="001E42FE"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Investment manager</w:t>
            </w:r>
          </w:p>
        </w:tc>
        <w:tc>
          <w:tcPr>
            <w:tcW w:w="3898" w:type="dxa"/>
            <w:shd w:val="clear" w:color="auto" w:fill="auto"/>
          </w:tcPr>
          <w:p w14:paraId="6E2F8A93" w14:textId="74AD582C" w:rsidR="001E42FE" w:rsidRPr="00CA2956" w:rsidRDefault="007E0A9C" w:rsidP="009479DE">
            <w:pPr>
              <w:pStyle w:val="TableHeading2"/>
              <w:spacing w:line="240" w:lineRule="auto"/>
              <w:rPr>
                <w:rFonts w:ascii="Helvetica" w:hAnsi="Helvetica"/>
                <w:sz w:val="16"/>
                <w:szCs w:val="16"/>
              </w:rPr>
            </w:pPr>
            <w:r w:rsidRPr="00CA2956">
              <w:rPr>
                <w:rFonts w:ascii="Helvetica" w:hAnsi="Helvetica" w:cs="Arial"/>
                <w:sz w:val="16"/>
                <w:szCs w:val="16"/>
              </w:rPr>
              <w:t xml:space="preserve">Russell </w:t>
            </w:r>
            <w:r w:rsidR="001E42FE" w:rsidRPr="00CA2956">
              <w:rPr>
                <w:rFonts w:ascii="Helvetica" w:hAnsi="Helvetica" w:cs="Arial"/>
                <w:sz w:val="16"/>
                <w:szCs w:val="16"/>
              </w:rPr>
              <w:t>Investment Management Limited</w:t>
            </w:r>
          </w:p>
        </w:tc>
        <w:tc>
          <w:tcPr>
            <w:tcW w:w="3898" w:type="dxa"/>
            <w:shd w:val="clear" w:color="auto" w:fill="auto"/>
          </w:tcPr>
          <w:p w14:paraId="30E413CD" w14:textId="37CC6AB6" w:rsidR="001E42FE" w:rsidRPr="00CA2956" w:rsidRDefault="0001464E" w:rsidP="009479DE">
            <w:pPr>
              <w:pStyle w:val="TableHeading2"/>
              <w:spacing w:line="240" w:lineRule="auto"/>
              <w:rPr>
                <w:rFonts w:ascii="Helvetica" w:hAnsi="Helvetica"/>
                <w:sz w:val="16"/>
                <w:szCs w:val="16"/>
              </w:rPr>
            </w:pPr>
            <w:r w:rsidRPr="00CA2956">
              <w:rPr>
                <w:rFonts w:ascii="Helvetica" w:hAnsi="Helvetica" w:cs="Arial"/>
                <w:sz w:val="16"/>
                <w:szCs w:val="16"/>
              </w:rPr>
              <w:t xml:space="preserve">FIL </w:t>
            </w:r>
            <w:r w:rsidR="001E42FE" w:rsidRPr="00CA2956">
              <w:rPr>
                <w:rFonts w:ascii="Helvetica" w:hAnsi="Helvetica" w:cs="Arial"/>
                <w:sz w:val="16"/>
                <w:szCs w:val="16"/>
              </w:rPr>
              <w:t>Investment Management (Australia) Limited</w:t>
            </w:r>
            <w:r w:rsidR="00EB6AC7" w:rsidRPr="00CA2956">
              <w:rPr>
                <w:rFonts w:ascii="Helvetica" w:hAnsi="Helvetica" w:cs="Arial"/>
                <w:sz w:val="16"/>
                <w:szCs w:val="16"/>
              </w:rPr>
              <w:t xml:space="preserve"> (Fidelity</w:t>
            </w:r>
            <w:r w:rsidR="00236FCE" w:rsidRPr="00CA2956">
              <w:rPr>
                <w:rFonts w:ascii="Helvetica" w:hAnsi="Helvetica" w:cs="Arial"/>
                <w:sz w:val="16"/>
                <w:szCs w:val="16"/>
              </w:rPr>
              <w:t>)</w:t>
            </w:r>
          </w:p>
        </w:tc>
      </w:tr>
      <w:tr w:rsidR="001E42FE" w:rsidRPr="0060610C" w14:paraId="05403FBB" w14:textId="77777777" w:rsidTr="002E5240">
        <w:trPr>
          <w:cantSplit/>
          <w:trHeight w:val="308"/>
        </w:trPr>
        <w:tc>
          <w:tcPr>
            <w:tcW w:w="2410" w:type="dxa"/>
          </w:tcPr>
          <w:p w14:paraId="634B4863" w14:textId="0A736DC8" w:rsidR="001E42FE" w:rsidRPr="00CA2956" w:rsidRDefault="001E42FE" w:rsidP="009479DE">
            <w:pPr>
              <w:pStyle w:val="Table"/>
              <w:spacing w:line="240" w:lineRule="auto"/>
              <w:rPr>
                <w:rFonts w:ascii="Helvetica" w:hAnsi="Helvetica" w:cs="Arial"/>
                <w:b/>
                <w:bCs/>
                <w:sz w:val="16"/>
                <w:szCs w:val="16"/>
              </w:rPr>
            </w:pPr>
            <w:bookmarkStart w:id="3" w:name="_Hlk140074224"/>
            <w:r w:rsidRPr="00CA2956">
              <w:rPr>
                <w:rFonts w:ascii="Helvetica" w:hAnsi="Helvetica" w:cs="Arial"/>
                <w:b/>
                <w:bCs/>
                <w:sz w:val="16"/>
                <w:szCs w:val="16"/>
              </w:rPr>
              <w:t>Objective</w:t>
            </w:r>
          </w:p>
        </w:tc>
        <w:tc>
          <w:tcPr>
            <w:tcW w:w="3898" w:type="dxa"/>
            <w:shd w:val="clear" w:color="auto" w:fill="auto"/>
          </w:tcPr>
          <w:p w14:paraId="5A24F89F" w14:textId="341091E6" w:rsidR="001E42FE" w:rsidRPr="00CA2956" w:rsidRDefault="007E0A9C" w:rsidP="009479DE">
            <w:pPr>
              <w:pStyle w:val="TableHeading2"/>
              <w:spacing w:line="240" w:lineRule="auto"/>
              <w:rPr>
                <w:rFonts w:ascii="Helvetica" w:hAnsi="Helvetica"/>
                <w:sz w:val="16"/>
                <w:szCs w:val="16"/>
              </w:rPr>
            </w:pPr>
            <w:r w:rsidRPr="00CA2956">
              <w:rPr>
                <w:rFonts w:ascii="Helvetica" w:hAnsi="Helvetica" w:cs="Arial"/>
                <w:sz w:val="16"/>
                <w:szCs w:val="16"/>
              </w:rPr>
              <w:t>Aims to outperform (before fees and tax) an internal benchmark comprising the weighted combination of relevant market indexes.</w:t>
            </w:r>
          </w:p>
        </w:tc>
        <w:tc>
          <w:tcPr>
            <w:tcW w:w="3898" w:type="dxa"/>
            <w:shd w:val="clear" w:color="auto" w:fill="auto"/>
          </w:tcPr>
          <w:p w14:paraId="5762D2DD" w14:textId="3A06A95F" w:rsidR="001E42FE" w:rsidRPr="00CA2956" w:rsidRDefault="00A47CEE" w:rsidP="00196B93">
            <w:pPr>
              <w:pStyle w:val="TableHeading2"/>
              <w:spacing w:line="240" w:lineRule="auto"/>
              <w:rPr>
                <w:rFonts w:ascii="Helvetica" w:hAnsi="Helvetica" w:cs="Arial"/>
                <w:sz w:val="16"/>
                <w:szCs w:val="16"/>
              </w:rPr>
            </w:pPr>
            <w:r w:rsidRPr="00CA2956">
              <w:rPr>
                <w:rFonts w:ascii="Helvetica" w:hAnsi="Helvetica" w:cs="Arial"/>
                <w:sz w:val="16"/>
                <w:szCs w:val="16"/>
              </w:rPr>
              <w:t>Aims to outperform the weighted average return of a composite index before tax and fees over rolling 5 year periods.</w:t>
            </w:r>
          </w:p>
        </w:tc>
      </w:tr>
      <w:tr w:rsidR="001E42FE" w:rsidRPr="0060610C" w14:paraId="444A3F04" w14:textId="77777777" w:rsidTr="002E5240">
        <w:trPr>
          <w:cantSplit/>
          <w:trHeight w:val="308"/>
        </w:trPr>
        <w:tc>
          <w:tcPr>
            <w:tcW w:w="2410" w:type="dxa"/>
          </w:tcPr>
          <w:p w14:paraId="0CD99B70" w14:textId="10C91D48" w:rsidR="001E42FE" w:rsidRPr="00CA2956" w:rsidRDefault="001E42FE"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Investment approach</w:t>
            </w:r>
          </w:p>
        </w:tc>
        <w:tc>
          <w:tcPr>
            <w:tcW w:w="3898" w:type="dxa"/>
            <w:shd w:val="clear" w:color="auto" w:fill="auto"/>
          </w:tcPr>
          <w:p w14:paraId="132CDB80" w14:textId="2F890A80" w:rsidR="001E42FE" w:rsidRPr="00CA2956" w:rsidRDefault="007E0A9C" w:rsidP="00D74F68">
            <w:pPr>
              <w:pStyle w:val="TableHeading2"/>
              <w:spacing w:line="240" w:lineRule="auto"/>
              <w:rPr>
                <w:rFonts w:ascii="Helvetica" w:hAnsi="Helvetica" w:cs="Arial"/>
                <w:sz w:val="16"/>
                <w:szCs w:val="16"/>
              </w:rPr>
            </w:pPr>
            <w:r w:rsidRPr="00CA2956">
              <w:rPr>
                <w:rFonts w:ascii="Helvetica" w:hAnsi="Helvetica" w:cs="Arial"/>
                <w:sz w:val="16"/>
                <w:szCs w:val="16"/>
              </w:rPr>
              <w:t>The fund typically invests in a diversified portfolio mix with exposure to growth investments of around 70% and defensive assets of around 30%. Derivatives may be used to implement investment strategies.</w:t>
            </w:r>
          </w:p>
        </w:tc>
        <w:tc>
          <w:tcPr>
            <w:tcW w:w="3898" w:type="dxa"/>
            <w:shd w:val="clear" w:color="auto" w:fill="auto"/>
          </w:tcPr>
          <w:p w14:paraId="3AED7FBD" w14:textId="081E556D" w:rsidR="001E42FE" w:rsidRPr="00CA2956" w:rsidRDefault="00EB6AC7" w:rsidP="009479DE">
            <w:pPr>
              <w:pStyle w:val="TableHeading2"/>
              <w:spacing w:line="240" w:lineRule="auto"/>
              <w:rPr>
                <w:rFonts w:ascii="Helvetica" w:hAnsi="Helvetica" w:cs="Arial"/>
                <w:sz w:val="16"/>
                <w:szCs w:val="16"/>
              </w:rPr>
            </w:pPr>
            <w:r w:rsidRPr="00CA2956">
              <w:rPr>
                <w:rFonts w:ascii="Helvetica" w:hAnsi="Helvetica" w:cs="Arial"/>
                <w:sz w:val="16"/>
                <w:szCs w:val="16"/>
              </w:rPr>
              <w:t>The fund aims to provide long-term capital growth by investing in a range of global asset classes. In actively managing the portfolio, the manager will tactically allocate investments across asset classes and geographic areas (including emerging markets) based on their potential to generate capital growth or reduce overall risk. The fund may use derivatives for efficient portfolio management and investment purposes. The manager will seek to manage the portfolio in a tax-aware manner. The fund typically aims to invest in a diversified portfolio mix with exposure to growth assets of around 70% and defensive assets of around 30%. The manager has the flexibility to allocate outside of the typical asset sector allocation guidelines where required (for example, during periods of market stress).</w:t>
            </w:r>
          </w:p>
        </w:tc>
      </w:tr>
      <w:tr w:rsidR="003A00AF" w:rsidRPr="0060610C" w14:paraId="68ED052A" w14:textId="77777777" w:rsidTr="002E5240">
        <w:trPr>
          <w:cantSplit/>
          <w:trHeight w:val="308"/>
        </w:trPr>
        <w:tc>
          <w:tcPr>
            <w:tcW w:w="2410" w:type="dxa"/>
          </w:tcPr>
          <w:p w14:paraId="0DD9A6B2" w14:textId="5B5E96B9"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Investment style</w:t>
            </w:r>
          </w:p>
        </w:tc>
        <w:tc>
          <w:tcPr>
            <w:tcW w:w="3898" w:type="dxa"/>
            <w:shd w:val="clear" w:color="auto" w:fill="auto"/>
          </w:tcPr>
          <w:p w14:paraId="71DCB255" w14:textId="7689227C" w:rsidR="003A00AF" w:rsidRPr="00CA2956" w:rsidRDefault="007E0A9C" w:rsidP="009479DE">
            <w:pPr>
              <w:pStyle w:val="TableHeading2"/>
              <w:spacing w:line="240" w:lineRule="auto"/>
              <w:rPr>
                <w:rFonts w:ascii="Helvetica" w:hAnsi="Helvetica" w:cs="Arial"/>
                <w:sz w:val="16"/>
                <w:szCs w:val="16"/>
              </w:rPr>
            </w:pPr>
            <w:r w:rsidRPr="00CA2956">
              <w:rPr>
                <w:rFonts w:ascii="Helvetica" w:hAnsi="Helvetica" w:cs="Arial"/>
                <w:sz w:val="16"/>
                <w:szCs w:val="16"/>
              </w:rPr>
              <w:t>Multi-manager</w:t>
            </w:r>
          </w:p>
        </w:tc>
        <w:tc>
          <w:tcPr>
            <w:tcW w:w="3898" w:type="dxa"/>
            <w:shd w:val="clear" w:color="auto" w:fill="auto"/>
          </w:tcPr>
          <w:p w14:paraId="3AB26582" w14:textId="05FCF625" w:rsidR="003A00AF" w:rsidRPr="00CA2956" w:rsidRDefault="007E0A9C" w:rsidP="009479DE">
            <w:pPr>
              <w:pStyle w:val="TableHeading2"/>
              <w:spacing w:line="240" w:lineRule="auto"/>
              <w:rPr>
                <w:rFonts w:ascii="Helvetica" w:hAnsi="Helvetica" w:cs="Arial"/>
                <w:sz w:val="16"/>
                <w:szCs w:val="16"/>
              </w:rPr>
            </w:pPr>
            <w:r w:rsidRPr="00CA2956">
              <w:rPr>
                <w:rFonts w:ascii="Helvetica" w:hAnsi="Helvetica" w:cs="Arial"/>
                <w:sz w:val="16"/>
                <w:szCs w:val="16"/>
              </w:rPr>
              <w:t>Multi-manager</w:t>
            </w:r>
          </w:p>
        </w:tc>
      </w:tr>
      <w:tr w:rsidR="003A00AF" w:rsidRPr="0060610C" w14:paraId="5704D0B9" w14:textId="77777777" w:rsidTr="002E5240">
        <w:trPr>
          <w:cantSplit/>
          <w:trHeight w:val="308"/>
        </w:trPr>
        <w:tc>
          <w:tcPr>
            <w:tcW w:w="2410" w:type="dxa"/>
          </w:tcPr>
          <w:p w14:paraId="3A5D0126" w14:textId="1A3D56ED"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color w:val="auto"/>
                <w:sz w:val="16"/>
                <w:szCs w:val="16"/>
              </w:rPr>
              <w:t>Investment guidelines</w:t>
            </w:r>
          </w:p>
        </w:tc>
        <w:tc>
          <w:tcPr>
            <w:tcW w:w="3898" w:type="dxa"/>
            <w:shd w:val="clear" w:color="auto" w:fill="auto"/>
          </w:tcPr>
          <w:p w14:paraId="0A83336E" w14:textId="77777777"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Fixed interest and cash 10-50% </w:t>
            </w:r>
          </w:p>
          <w:p w14:paraId="6658A726" w14:textId="77777777"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Australian shares 15-45% </w:t>
            </w:r>
          </w:p>
          <w:p w14:paraId="721152BD" w14:textId="77777777"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International shares 15-45% </w:t>
            </w:r>
          </w:p>
          <w:p w14:paraId="1DA0191E" w14:textId="77777777"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Property 0-20% </w:t>
            </w:r>
          </w:p>
          <w:p w14:paraId="1D01EBDE" w14:textId="35301819" w:rsidR="003A00AF"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Other 0-35% </w:t>
            </w:r>
          </w:p>
        </w:tc>
        <w:tc>
          <w:tcPr>
            <w:tcW w:w="3898" w:type="dxa"/>
            <w:shd w:val="clear" w:color="auto" w:fill="auto"/>
          </w:tcPr>
          <w:p w14:paraId="5D907ED1" w14:textId="77777777" w:rsidR="00D74F68" w:rsidRPr="00CA2956" w:rsidRDefault="00D74F68" w:rsidP="00D74F68">
            <w:pPr>
              <w:pStyle w:val="TableHeading2"/>
              <w:spacing w:line="240" w:lineRule="auto"/>
              <w:rPr>
                <w:rFonts w:ascii="Helvetica" w:hAnsi="Helvetica" w:cs="Arial"/>
                <w:sz w:val="16"/>
                <w:szCs w:val="16"/>
              </w:rPr>
            </w:pPr>
            <w:r w:rsidRPr="00CA2956">
              <w:rPr>
                <w:rFonts w:ascii="Helvetica" w:hAnsi="Helvetica" w:cs="Arial"/>
                <w:sz w:val="16"/>
                <w:szCs w:val="16"/>
              </w:rPr>
              <w:t>Cash 0-40%</w:t>
            </w:r>
          </w:p>
          <w:p w14:paraId="0B12C8A0" w14:textId="2757B2E5" w:rsidR="007E0A9C" w:rsidRPr="00CA2956" w:rsidRDefault="00227735"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Australian </w:t>
            </w:r>
            <w:r w:rsidR="00D74F68" w:rsidRPr="00CA2956">
              <w:rPr>
                <w:rFonts w:ascii="Helvetica" w:hAnsi="Helvetica" w:cs="Arial"/>
                <w:sz w:val="16"/>
                <w:szCs w:val="16"/>
              </w:rPr>
              <w:t>f</w:t>
            </w:r>
            <w:r w:rsidRPr="00CA2956">
              <w:rPr>
                <w:rFonts w:ascii="Helvetica" w:hAnsi="Helvetica" w:cs="Arial"/>
                <w:sz w:val="16"/>
                <w:szCs w:val="16"/>
              </w:rPr>
              <w:t xml:space="preserve">ixed </w:t>
            </w:r>
            <w:r w:rsidR="007F63AB" w:rsidRPr="00CA2956">
              <w:rPr>
                <w:rFonts w:ascii="Helvetica" w:hAnsi="Helvetica" w:cs="Arial"/>
                <w:sz w:val="16"/>
                <w:szCs w:val="16"/>
              </w:rPr>
              <w:t>interest</w:t>
            </w:r>
            <w:r w:rsidR="007E0A9C" w:rsidRPr="00CA2956">
              <w:rPr>
                <w:rFonts w:ascii="Helvetica" w:hAnsi="Helvetica" w:cs="Arial"/>
                <w:sz w:val="16"/>
                <w:szCs w:val="16"/>
              </w:rPr>
              <w:t xml:space="preserve"> </w:t>
            </w:r>
            <w:r w:rsidRPr="00CA2956">
              <w:rPr>
                <w:rFonts w:ascii="Helvetica" w:hAnsi="Helvetica" w:cs="Arial"/>
                <w:sz w:val="16"/>
                <w:szCs w:val="16"/>
              </w:rPr>
              <w:t>0</w:t>
            </w:r>
            <w:r w:rsidR="007E0A9C" w:rsidRPr="00CA2956">
              <w:rPr>
                <w:rFonts w:ascii="Helvetica" w:hAnsi="Helvetica" w:cs="Arial"/>
                <w:sz w:val="16"/>
                <w:szCs w:val="16"/>
              </w:rPr>
              <w:t>-</w:t>
            </w:r>
            <w:r w:rsidRPr="00CA2956">
              <w:rPr>
                <w:rFonts w:ascii="Helvetica" w:hAnsi="Helvetica" w:cs="Arial"/>
                <w:sz w:val="16"/>
                <w:szCs w:val="16"/>
              </w:rPr>
              <w:t>4</w:t>
            </w:r>
            <w:r w:rsidR="007E0A9C" w:rsidRPr="00CA2956">
              <w:rPr>
                <w:rFonts w:ascii="Helvetica" w:hAnsi="Helvetica" w:cs="Arial"/>
                <w:sz w:val="16"/>
                <w:szCs w:val="16"/>
              </w:rPr>
              <w:t xml:space="preserve">0% </w:t>
            </w:r>
          </w:p>
          <w:p w14:paraId="06C09CFA" w14:textId="78D25A23" w:rsidR="00227735" w:rsidRPr="00CA2956" w:rsidRDefault="00D74F68" w:rsidP="00DC1FDC">
            <w:pPr>
              <w:pStyle w:val="TableHeading2"/>
              <w:spacing w:line="240" w:lineRule="auto"/>
              <w:rPr>
                <w:rFonts w:ascii="Helvetica" w:hAnsi="Helvetica" w:cs="Arial"/>
                <w:sz w:val="16"/>
                <w:szCs w:val="16"/>
              </w:rPr>
            </w:pPr>
            <w:r w:rsidRPr="00CA2956">
              <w:rPr>
                <w:rFonts w:ascii="Helvetica" w:hAnsi="Helvetica" w:cs="Arial"/>
                <w:sz w:val="16"/>
                <w:szCs w:val="16"/>
              </w:rPr>
              <w:t>International f</w:t>
            </w:r>
            <w:r w:rsidR="00227735" w:rsidRPr="00CA2956">
              <w:rPr>
                <w:rFonts w:ascii="Helvetica" w:hAnsi="Helvetica" w:cs="Arial"/>
                <w:sz w:val="16"/>
                <w:szCs w:val="16"/>
              </w:rPr>
              <w:t xml:space="preserve">ixed </w:t>
            </w:r>
            <w:r w:rsidR="007F63AB" w:rsidRPr="00CA2956">
              <w:rPr>
                <w:rFonts w:ascii="Helvetica" w:hAnsi="Helvetica" w:cs="Arial"/>
                <w:sz w:val="16"/>
                <w:szCs w:val="16"/>
              </w:rPr>
              <w:t xml:space="preserve">interest </w:t>
            </w:r>
            <w:r w:rsidR="00227735" w:rsidRPr="00CA2956">
              <w:rPr>
                <w:rFonts w:ascii="Helvetica" w:hAnsi="Helvetica" w:cs="Arial"/>
                <w:sz w:val="16"/>
                <w:szCs w:val="16"/>
              </w:rPr>
              <w:t>0-40%</w:t>
            </w:r>
          </w:p>
          <w:p w14:paraId="6AA74CE8" w14:textId="3DDAFD0F"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Australian shares 1</w:t>
            </w:r>
            <w:r w:rsidR="00227735" w:rsidRPr="00CA2956">
              <w:rPr>
                <w:rFonts w:ascii="Helvetica" w:hAnsi="Helvetica" w:cs="Arial"/>
                <w:sz w:val="16"/>
                <w:szCs w:val="16"/>
              </w:rPr>
              <w:t>0</w:t>
            </w:r>
            <w:r w:rsidRPr="00CA2956">
              <w:rPr>
                <w:rFonts w:ascii="Helvetica" w:hAnsi="Helvetica" w:cs="Arial"/>
                <w:sz w:val="16"/>
                <w:szCs w:val="16"/>
              </w:rPr>
              <w:t>-</w:t>
            </w:r>
            <w:r w:rsidR="00227735" w:rsidRPr="00CA2956">
              <w:rPr>
                <w:rFonts w:ascii="Helvetica" w:hAnsi="Helvetica" w:cs="Arial"/>
                <w:sz w:val="16"/>
                <w:szCs w:val="16"/>
              </w:rPr>
              <w:t>60</w:t>
            </w:r>
            <w:r w:rsidRPr="00CA2956">
              <w:rPr>
                <w:rFonts w:ascii="Helvetica" w:hAnsi="Helvetica" w:cs="Arial"/>
                <w:sz w:val="16"/>
                <w:szCs w:val="16"/>
              </w:rPr>
              <w:t xml:space="preserve">% </w:t>
            </w:r>
          </w:p>
          <w:p w14:paraId="2F3E559F" w14:textId="69773BBB"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International shares </w:t>
            </w:r>
            <w:r w:rsidR="00EB6AC7" w:rsidRPr="00CA2956">
              <w:rPr>
                <w:rFonts w:ascii="Helvetica" w:hAnsi="Helvetica" w:cs="Arial"/>
                <w:sz w:val="16"/>
                <w:szCs w:val="16"/>
              </w:rPr>
              <w:t>1</w:t>
            </w:r>
            <w:r w:rsidR="00227735" w:rsidRPr="00CA2956">
              <w:rPr>
                <w:rFonts w:ascii="Helvetica" w:hAnsi="Helvetica" w:cs="Arial"/>
                <w:sz w:val="16"/>
                <w:szCs w:val="16"/>
              </w:rPr>
              <w:t>0</w:t>
            </w:r>
            <w:r w:rsidRPr="00CA2956">
              <w:rPr>
                <w:rFonts w:ascii="Helvetica" w:hAnsi="Helvetica" w:cs="Arial"/>
                <w:sz w:val="16"/>
                <w:szCs w:val="16"/>
              </w:rPr>
              <w:t>-</w:t>
            </w:r>
            <w:r w:rsidR="00227735" w:rsidRPr="00CA2956">
              <w:rPr>
                <w:rFonts w:ascii="Helvetica" w:hAnsi="Helvetica" w:cs="Arial"/>
                <w:sz w:val="16"/>
                <w:szCs w:val="16"/>
              </w:rPr>
              <w:t>70</w:t>
            </w:r>
            <w:r w:rsidRPr="00CA2956">
              <w:rPr>
                <w:rFonts w:ascii="Helvetica" w:hAnsi="Helvetica" w:cs="Arial"/>
                <w:sz w:val="16"/>
                <w:szCs w:val="16"/>
              </w:rPr>
              <w:t xml:space="preserve">% </w:t>
            </w:r>
          </w:p>
          <w:p w14:paraId="6DC26E0D" w14:textId="0EBFE8E1" w:rsidR="003A00AF" w:rsidRPr="00CA2956" w:rsidRDefault="007E0A9C" w:rsidP="00D74F68">
            <w:pPr>
              <w:pStyle w:val="TableHeading2"/>
              <w:spacing w:line="240" w:lineRule="auto"/>
              <w:rPr>
                <w:rFonts w:ascii="Helvetica" w:hAnsi="Helvetica" w:cs="Arial"/>
                <w:sz w:val="16"/>
                <w:szCs w:val="16"/>
              </w:rPr>
            </w:pPr>
            <w:r w:rsidRPr="00CA2956">
              <w:rPr>
                <w:rFonts w:ascii="Helvetica" w:hAnsi="Helvetica" w:cs="Arial"/>
                <w:sz w:val="16"/>
                <w:szCs w:val="16"/>
              </w:rPr>
              <w:t>Other 0-</w:t>
            </w:r>
            <w:r w:rsidR="00EB6AC7" w:rsidRPr="00CA2956">
              <w:rPr>
                <w:rFonts w:ascii="Helvetica" w:hAnsi="Helvetica" w:cs="Arial"/>
                <w:sz w:val="16"/>
                <w:szCs w:val="16"/>
              </w:rPr>
              <w:t>35</w:t>
            </w:r>
            <w:r w:rsidRPr="00CA2956">
              <w:rPr>
                <w:rFonts w:ascii="Helvetica" w:hAnsi="Helvetica" w:cs="Arial"/>
                <w:sz w:val="16"/>
                <w:szCs w:val="16"/>
              </w:rPr>
              <w:t xml:space="preserve">% </w:t>
            </w:r>
          </w:p>
        </w:tc>
      </w:tr>
      <w:tr w:rsidR="003A00AF" w:rsidRPr="0060610C" w14:paraId="4532EC6C" w14:textId="77777777" w:rsidTr="002E5240">
        <w:trPr>
          <w:cantSplit/>
          <w:trHeight w:val="308"/>
        </w:trPr>
        <w:tc>
          <w:tcPr>
            <w:tcW w:w="2410" w:type="dxa"/>
          </w:tcPr>
          <w:p w14:paraId="37C523AF" w14:textId="77777777" w:rsidR="003A00AF" w:rsidRPr="00CA2956" w:rsidRDefault="003A00AF" w:rsidP="009479DE">
            <w:pPr>
              <w:pStyle w:val="BodyText"/>
              <w:spacing w:before="0" w:line="240" w:lineRule="auto"/>
              <w:ind w:left="0" w:right="0"/>
              <w:rPr>
                <w:rFonts w:ascii="Helvetica" w:hAnsi="Helvetica" w:cs="Arial"/>
                <w:b/>
                <w:bCs/>
                <w:color w:val="auto"/>
                <w:sz w:val="16"/>
                <w:szCs w:val="16"/>
              </w:rPr>
            </w:pPr>
            <w:r w:rsidRPr="00CA2956">
              <w:rPr>
                <w:rFonts w:ascii="Helvetica" w:hAnsi="Helvetica" w:cs="Arial"/>
                <w:b/>
                <w:bCs/>
                <w:color w:val="auto"/>
                <w:sz w:val="16"/>
                <w:szCs w:val="16"/>
              </w:rPr>
              <w:t>Asset allocation</w:t>
            </w:r>
          </w:p>
          <w:p w14:paraId="1443D6BF" w14:textId="40013729"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color w:val="auto"/>
                <w:sz w:val="16"/>
                <w:szCs w:val="16"/>
              </w:rPr>
              <w:t>(</w:t>
            </w:r>
            <w:r w:rsidR="00B24328" w:rsidRPr="00CA2956">
              <w:rPr>
                <w:rFonts w:ascii="Helvetica" w:hAnsi="Helvetica" w:cs="Arial"/>
                <w:b/>
                <w:bCs/>
                <w:color w:val="auto"/>
                <w:sz w:val="16"/>
                <w:szCs w:val="16"/>
              </w:rPr>
              <w:t xml:space="preserve">30 June </w:t>
            </w:r>
            <w:r w:rsidR="007E0A9C" w:rsidRPr="00CA2956">
              <w:rPr>
                <w:rFonts w:ascii="Helvetica" w:hAnsi="Helvetica" w:cs="Arial"/>
                <w:b/>
                <w:bCs/>
                <w:color w:val="auto"/>
                <w:sz w:val="16"/>
                <w:szCs w:val="16"/>
              </w:rPr>
              <w:t>202</w:t>
            </w:r>
            <w:r w:rsidR="00782735" w:rsidRPr="00CA2956">
              <w:rPr>
                <w:rFonts w:ascii="Helvetica" w:hAnsi="Helvetica" w:cs="Arial"/>
                <w:b/>
                <w:bCs/>
                <w:color w:val="auto"/>
                <w:sz w:val="16"/>
                <w:szCs w:val="16"/>
              </w:rPr>
              <w:t>3</w:t>
            </w:r>
            <w:r w:rsidRPr="00CA2956">
              <w:rPr>
                <w:rFonts w:ascii="Helvetica" w:hAnsi="Helvetica" w:cs="Arial"/>
                <w:b/>
                <w:bCs/>
                <w:color w:val="auto"/>
                <w:sz w:val="16"/>
                <w:szCs w:val="16"/>
              </w:rPr>
              <w:t>)</w:t>
            </w:r>
            <w:r w:rsidR="00233307" w:rsidRPr="00CA2956">
              <w:rPr>
                <w:rStyle w:val="FootnoteReference"/>
                <w:rFonts w:ascii="Helvetica" w:hAnsi="Helvetica" w:cs="Arial"/>
                <w:b/>
                <w:bCs/>
                <w:color w:val="auto"/>
                <w:sz w:val="16"/>
                <w:szCs w:val="16"/>
              </w:rPr>
              <w:footnoteReference w:id="1"/>
            </w:r>
          </w:p>
        </w:tc>
        <w:tc>
          <w:tcPr>
            <w:tcW w:w="3898" w:type="dxa"/>
            <w:shd w:val="clear" w:color="auto" w:fill="auto"/>
          </w:tcPr>
          <w:p w14:paraId="045204AC" w14:textId="08FA81DB"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Fixed interest and cash 50% </w:t>
            </w:r>
          </w:p>
          <w:p w14:paraId="5989F17B" w14:textId="175AABA8"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Australian shares 45% </w:t>
            </w:r>
          </w:p>
          <w:p w14:paraId="1C01E1F7" w14:textId="71135393"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International shares 45% </w:t>
            </w:r>
          </w:p>
          <w:p w14:paraId="0F4671E3" w14:textId="5AEC3442"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Property 20% </w:t>
            </w:r>
          </w:p>
          <w:p w14:paraId="09920D6B" w14:textId="4326939C" w:rsidR="003A00AF" w:rsidRPr="00CA2956" w:rsidRDefault="007E0A9C" w:rsidP="009479DE">
            <w:pPr>
              <w:pStyle w:val="TableHeading2"/>
              <w:spacing w:line="240" w:lineRule="auto"/>
              <w:rPr>
                <w:rFonts w:ascii="Helvetica" w:hAnsi="Helvetica" w:cs="Arial"/>
                <w:sz w:val="16"/>
                <w:szCs w:val="16"/>
              </w:rPr>
            </w:pPr>
            <w:r w:rsidRPr="00CA2956">
              <w:rPr>
                <w:rFonts w:ascii="Helvetica" w:hAnsi="Helvetica" w:cs="Arial"/>
                <w:sz w:val="16"/>
                <w:szCs w:val="16"/>
              </w:rPr>
              <w:t xml:space="preserve">Other 35% </w:t>
            </w:r>
          </w:p>
        </w:tc>
        <w:tc>
          <w:tcPr>
            <w:tcW w:w="3898" w:type="dxa"/>
            <w:shd w:val="clear" w:color="auto" w:fill="auto"/>
          </w:tcPr>
          <w:p w14:paraId="10BDBD7D" w14:textId="208C3FA6"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Fixed interest and cash </w:t>
            </w:r>
            <w:r w:rsidR="00227735" w:rsidRPr="00CA2956">
              <w:rPr>
                <w:rFonts w:ascii="Helvetica" w:hAnsi="Helvetica" w:cs="Arial"/>
                <w:sz w:val="16"/>
                <w:szCs w:val="16"/>
              </w:rPr>
              <w:t>3</w:t>
            </w:r>
            <w:r w:rsidRPr="00CA2956">
              <w:rPr>
                <w:rFonts w:ascii="Helvetica" w:hAnsi="Helvetica" w:cs="Arial"/>
                <w:sz w:val="16"/>
                <w:szCs w:val="16"/>
              </w:rPr>
              <w:t xml:space="preserve">0% </w:t>
            </w:r>
          </w:p>
          <w:p w14:paraId="5A1B2094" w14:textId="3F7277AE" w:rsidR="007E0A9C" w:rsidRPr="00CA2956" w:rsidRDefault="007E0A9C" w:rsidP="00DC1FDC">
            <w:pPr>
              <w:pStyle w:val="TableHeading2"/>
              <w:spacing w:line="240" w:lineRule="auto"/>
              <w:rPr>
                <w:rFonts w:ascii="Helvetica" w:hAnsi="Helvetica" w:cs="Arial"/>
                <w:sz w:val="16"/>
                <w:szCs w:val="16"/>
              </w:rPr>
            </w:pPr>
            <w:r w:rsidRPr="00CA2956">
              <w:rPr>
                <w:rFonts w:ascii="Helvetica" w:hAnsi="Helvetica" w:cs="Arial"/>
                <w:sz w:val="16"/>
                <w:szCs w:val="16"/>
              </w:rPr>
              <w:t xml:space="preserve">Australian shares </w:t>
            </w:r>
            <w:r w:rsidR="00227735" w:rsidRPr="00CA2956">
              <w:rPr>
                <w:rFonts w:ascii="Helvetica" w:hAnsi="Helvetica" w:cs="Arial"/>
                <w:sz w:val="16"/>
                <w:szCs w:val="16"/>
              </w:rPr>
              <w:t>2</w:t>
            </w:r>
            <w:r w:rsidRPr="00CA2956">
              <w:rPr>
                <w:rFonts w:ascii="Helvetica" w:hAnsi="Helvetica" w:cs="Arial"/>
                <w:sz w:val="16"/>
                <w:szCs w:val="16"/>
              </w:rPr>
              <w:t xml:space="preserve">5% </w:t>
            </w:r>
          </w:p>
          <w:p w14:paraId="2966ACCF" w14:textId="77777777" w:rsidR="00D74F68" w:rsidRPr="00CA2956" w:rsidRDefault="007E0A9C" w:rsidP="009479DE">
            <w:pPr>
              <w:pStyle w:val="TableHeading2"/>
              <w:spacing w:line="240" w:lineRule="auto"/>
              <w:rPr>
                <w:rFonts w:ascii="Helvetica" w:hAnsi="Helvetica" w:cs="Arial"/>
                <w:sz w:val="16"/>
                <w:szCs w:val="16"/>
              </w:rPr>
            </w:pPr>
            <w:r w:rsidRPr="00CA2956">
              <w:rPr>
                <w:rFonts w:ascii="Helvetica" w:hAnsi="Helvetica" w:cs="Arial"/>
                <w:sz w:val="16"/>
                <w:szCs w:val="16"/>
              </w:rPr>
              <w:t>International shares 45%</w:t>
            </w:r>
          </w:p>
          <w:p w14:paraId="431985E8" w14:textId="1EF1E639" w:rsidR="003A00AF" w:rsidRPr="00CA2956" w:rsidRDefault="00D74F68" w:rsidP="009479DE">
            <w:pPr>
              <w:pStyle w:val="TableHeading2"/>
              <w:spacing w:line="240" w:lineRule="auto"/>
              <w:rPr>
                <w:rFonts w:ascii="Helvetica" w:hAnsi="Helvetica" w:cs="Arial"/>
                <w:sz w:val="16"/>
                <w:szCs w:val="16"/>
              </w:rPr>
            </w:pPr>
            <w:proofErr w:type="gramStart"/>
            <w:r w:rsidRPr="00CA2956">
              <w:rPr>
                <w:rFonts w:ascii="Helvetica" w:hAnsi="Helvetica" w:cs="Arial"/>
                <w:sz w:val="16"/>
                <w:szCs w:val="16"/>
              </w:rPr>
              <w:t>Other</w:t>
            </w:r>
            <w:proofErr w:type="gramEnd"/>
            <w:r w:rsidRPr="00CA2956">
              <w:rPr>
                <w:rFonts w:ascii="Helvetica" w:hAnsi="Helvetica" w:cs="Arial"/>
                <w:sz w:val="16"/>
                <w:szCs w:val="16"/>
              </w:rPr>
              <w:t xml:space="preserve"> 0%</w:t>
            </w:r>
          </w:p>
        </w:tc>
      </w:tr>
      <w:tr w:rsidR="003A00AF" w:rsidRPr="0060610C" w14:paraId="37340AB8" w14:textId="77777777" w:rsidTr="002E5240">
        <w:trPr>
          <w:cantSplit/>
          <w:trHeight w:val="308"/>
        </w:trPr>
        <w:tc>
          <w:tcPr>
            <w:tcW w:w="2410" w:type="dxa"/>
          </w:tcPr>
          <w:p w14:paraId="09E0B6BA" w14:textId="5929CA9E"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Risk level</w:t>
            </w:r>
            <w:r w:rsidR="00345F1E" w:rsidRPr="00CA2956">
              <w:rPr>
                <w:rStyle w:val="FootnoteReference"/>
                <w:rFonts w:ascii="Helvetica" w:hAnsi="Helvetica" w:cs="Arial"/>
                <w:b/>
                <w:bCs/>
                <w:sz w:val="16"/>
                <w:szCs w:val="16"/>
              </w:rPr>
              <w:footnoteReference w:id="2"/>
            </w:r>
          </w:p>
        </w:tc>
        <w:tc>
          <w:tcPr>
            <w:tcW w:w="3898" w:type="dxa"/>
            <w:shd w:val="clear" w:color="auto" w:fill="auto"/>
          </w:tcPr>
          <w:p w14:paraId="0CCEB013" w14:textId="23E51115"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6 – High</w:t>
            </w:r>
          </w:p>
        </w:tc>
        <w:tc>
          <w:tcPr>
            <w:tcW w:w="3898" w:type="dxa"/>
            <w:shd w:val="clear" w:color="auto" w:fill="auto"/>
          </w:tcPr>
          <w:p w14:paraId="70458CB6" w14:textId="25CD29FF"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6 – High</w:t>
            </w:r>
          </w:p>
        </w:tc>
      </w:tr>
      <w:tr w:rsidR="003A00AF" w:rsidRPr="0060610C" w14:paraId="6684855A" w14:textId="77777777" w:rsidTr="002E5240">
        <w:trPr>
          <w:cantSplit/>
          <w:trHeight w:val="308"/>
        </w:trPr>
        <w:tc>
          <w:tcPr>
            <w:tcW w:w="2410" w:type="dxa"/>
          </w:tcPr>
          <w:p w14:paraId="270A5069" w14:textId="4AD0ED88"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Suggested minimum length of investment</w:t>
            </w:r>
          </w:p>
        </w:tc>
        <w:tc>
          <w:tcPr>
            <w:tcW w:w="3898" w:type="dxa"/>
            <w:shd w:val="clear" w:color="auto" w:fill="auto"/>
          </w:tcPr>
          <w:p w14:paraId="51BB9F64" w14:textId="4C3568B3"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5 years</w:t>
            </w:r>
          </w:p>
        </w:tc>
        <w:tc>
          <w:tcPr>
            <w:tcW w:w="3898" w:type="dxa"/>
            <w:shd w:val="clear" w:color="auto" w:fill="auto"/>
          </w:tcPr>
          <w:p w14:paraId="25DE919A" w14:textId="37FE8341"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5 years</w:t>
            </w:r>
          </w:p>
        </w:tc>
      </w:tr>
      <w:tr w:rsidR="007E0A9C" w:rsidRPr="0060610C" w14:paraId="28A76B72" w14:textId="77777777" w:rsidTr="002E5240">
        <w:trPr>
          <w:cantSplit/>
          <w:trHeight w:val="308"/>
        </w:trPr>
        <w:tc>
          <w:tcPr>
            <w:tcW w:w="2410" w:type="dxa"/>
          </w:tcPr>
          <w:p w14:paraId="751C2645" w14:textId="49D0409E" w:rsidR="007E0A9C" w:rsidRPr="00CA2956" w:rsidRDefault="007E0A9C"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Tax aware level</w:t>
            </w:r>
          </w:p>
        </w:tc>
        <w:tc>
          <w:tcPr>
            <w:tcW w:w="3898" w:type="dxa"/>
            <w:shd w:val="clear" w:color="auto" w:fill="auto"/>
          </w:tcPr>
          <w:p w14:paraId="53F515D5" w14:textId="4539D294" w:rsidR="007E0A9C" w:rsidRPr="00CA2956" w:rsidRDefault="007E0A9C" w:rsidP="009479DE">
            <w:pPr>
              <w:pStyle w:val="TableHeading2"/>
              <w:spacing w:line="240" w:lineRule="auto"/>
              <w:rPr>
                <w:rFonts w:ascii="Helvetica" w:hAnsi="Helvetica" w:cs="Arial"/>
                <w:sz w:val="16"/>
                <w:szCs w:val="16"/>
              </w:rPr>
            </w:pPr>
            <w:r w:rsidRPr="00CA2956">
              <w:rPr>
                <w:rFonts w:ascii="Helvetica" w:hAnsi="Helvetica" w:cs="Arial"/>
                <w:sz w:val="16"/>
                <w:szCs w:val="16"/>
              </w:rPr>
              <w:t>Tax enhanced</w:t>
            </w:r>
          </w:p>
        </w:tc>
        <w:tc>
          <w:tcPr>
            <w:tcW w:w="3898" w:type="dxa"/>
            <w:shd w:val="clear" w:color="auto" w:fill="auto"/>
          </w:tcPr>
          <w:p w14:paraId="7C537473" w14:textId="542D8906" w:rsidR="007E0A9C" w:rsidRPr="00CA2956" w:rsidRDefault="007E0A9C" w:rsidP="009479DE">
            <w:pPr>
              <w:pStyle w:val="TableHeading2"/>
              <w:spacing w:line="240" w:lineRule="auto"/>
              <w:rPr>
                <w:rFonts w:ascii="Helvetica" w:hAnsi="Helvetica" w:cs="Arial"/>
                <w:sz w:val="16"/>
                <w:szCs w:val="16"/>
              </w:rPr>
            </w:pPr>
            <w:r w:rsidRPr="00CA2956">
              <w:rPr>
                <w:rFonts w:ascii="Helvetica" w:hAnsi="Helvetica" w:cs="Arial"/>
                <w:sz w:val="16"/>
                <w:szCs w:val="16"/>
              </w:rPr>
              <w:t>Tax optimised</w:t>
            </w:r>
          </w:p>
        </w:tc>
      </w:tr>
      <w:tr w:rsidR="003A00AF" w:rsidRPr="0060610C" w14:paraId="6F2A574B" w14:textId="77777777" w:rsidTr="002E5240">
        <w:trPr>
          <w:cantSplit/>
          <w:trHeight w:val="308"/>
        </w:trPr>
        <w:tc>
          <w:tcPr>
            <w:tcW w:w="2410" w:type="dxa"/>
          </w:tcPr>
          <w:p w14:paraId="5ACCF069" w14:textId="39FE217E"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Buy/sell spread</w:t>
            </w:r>
          </w:p>
        </w:tc>
        <w:tc>
          <w:tcPr>
            <w:tcW w:w="3898" w:type="dxa"/>
            <w:shd w:val="clear" w:color="auto" w:fill="auto"/>
          </w:tcPr>
          <w:p w14:paraId="032FDD97" w14:textId="2760E4A0"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0.</w:t>
            </w:r>
            <w:r w:rsidR="00F459CE" w:rsidRPr="00CA2956">
              <w:rPr>
                <w:rFonts w:ascii="Helvetica" w:hAnsi="Helvetica" w:cs="Arial"/>
                <w:sz w:val="16"/>
                <w:szCs w:val="16"/>
              </w:rPr>
              <w:t>19</w:t>
            </w:r>
            <w:r w:rsidRPr="00CA2956">
              <w:rPr>
                <w:rFonts w:ascii="Helvetica" w:hAnsi="Helvetica" w:cs="Arial"/>
                <w:sz w:val="16"/>
                <w:szCs w:val="16"/>
              </w:rPr>
              <w:t>%/0.</w:t>
            </w:r>
            <w:r w:rsidR="00F459CE" w:rsidRPr="00CA2956">
              <w:rPr>
                <w:rFonts w:ascii="Helvetica" w:hAnsi="Helvetica" w:cs="Arial"/>
                <w:sz w:val="16"/>
                <w:szCs w:val="16"/>
              </w:rPr>
              <w:t>18</w:t>
            </w:r>
            <w:r w:rsidRPr="00CA2956">
              <w:rPr>
                <w:rFonts w:ascii="Helvetica" w:hAnsi="Helvetica" w:cs="Arial"/>
                <w:sz w:val="16"/>
                <w:szCs w:val="16"/>
              </w:rPr>
              <w:t>%</w:t>
            </w:r>
          </w:p>
        </w:tc>
        <w:tc>
          <w:tcPr>
            <w:tcW w:w="3898" w:type="dxa"/>
            <w:shd w:val="clear" w:color="auto" w:fill="auto"/>
          </w:tcPr>
          <w:p w14:paraId="5E549D7B" w14:textId="14C0FEF6"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0.</w:t>
            </w:r>
            <w:r w:rsidR="00F459CE" w:rsidRPr="00CA2956">
              <w:rPr>
                <w:rFonts w:ascii="Helvetica" w:hAnsi="Helvetica" w:cs="Arial"/>
                <w:sz w:val="16"/>
                <w:szCs w:val="16"/>
              </w:rPr>
              <w:t>18</w:t>
            </w:r>
            <w:r w:rsidRPr="00CA2956">
              <w:rPr>
                <w:rFonts w:ascii="Helvetica" w:hAnsi="Helvetica" w:cs="Arial"/>
                <w:sz w:val="16"/>
                <w:szCs w:val="16"/>
              </w:rPr>
              <w:t>%/0.</w:t>
            </w:r>
            <w:r w:rsidR="00F459CE" w:rsidRPr="00CA2956">
              <w:rPr>
                <w:rFonts w:ascii="Helvetica" w:hAnsi="Helvetica" w:cs="Arial"/>
                <w:sz w:val="16"/>
                <w:szCs w:val="16"/>
              </w:rPr>
              <w:t>18</w:t>
            </w:r>
            <w:r w:rsidRPr="00CA2956">
              <w:rPr>
                <w:rFonts w:ascii="Helvetica" w:hAnsi="Helvetica" w:cs="Arial"/>
                <w:sz w:val="16"/>
                <w:szCs w:val="16"/>
              </w:rPr>
              <w:t>%</w:t>
            </w:r>
          </w:p>
        </w:tc>
      </w:tr>
      <w:tr w:rsidR="003A00AF" w:rsidRPr="0060610C" w14:paraId="058FD01E" w14:textId="77777777" w:rsidTr="002E5240">
        <w:trPr>
          <w:cantSplit/>
          <w:trHeight w:val="308"/>
        </w:trPr>
        <w:tc>
          <w:tcPr>
            <w:tcW w:w="2410" w:type="dxa"/>
          </w:tcPr>
          <w:p w14:paraId="3BDF90B1" w14:textId="3F204EE4"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 xml:space="preserve">Investment management </w:t>
            </w:r>
            <w:r w:rsidR="00F459CE" w:rsidRPr="00CA2956">
              <w:rPr>
                <w:rFonts w:ascii="Helvetica" w:hAnsi="Helvetica" w:cs="Arial"/>
                <w:b/>
                <w:bCs/>
                <w:sz w:val="16"/>
                <w:szCs w:val="16"/>
              </w:rPr>
              <w:t xml:space="preserve">fees and </w:t>
            </w:r>
            <w:r w:rsidRPr="00CA2956">
              <w:rPr>
                <w:rFonts w:ascii="Helvetica" w:hAnsi="Helvetica" w:cs="Arial"/>
                <w:b/>
                <w:bCs/>
                <w:sz w:val="16"/>
                <w:szCs w:val="16"/>
              </w:rPr>
              <w:t>costs</w:t>
            </w:r>
            <w:r w:rsidR="00F459CE" w:rsidRPr="00CA2956">
              <w:rPr>
                <w:rStyle w:val="FootnoteReference"/>
                <w:rFonts w:ascii="Helvetica" w:hAnsi="Helvetica" w:cs="Arial"/>
                <w:b/>
                <w:bCs/>
                <w:sz w:val="16"/>
                <w:szCs w:val="16"/>
              </w:rPr>
              <w:footnoteReference w:id="3"/>
            </w:r>
            <w:r w:rsidRPr="00CA2956">
              <w:rPr>
                <w:rFonts w:ascii="Helvetica" w:hAnsi="Helvetica" w:cs="Arial"/>
                <w:b/>
                <w:bCs/>
                <w:sz w:val="16"/>
                <w:szCs w:val="16"/>
              </w:rPr>
              <w:t xml:space="preserve"> </w:t>
            </w:r>
          </w:p>
        </w:tc>
        <w:tc>
          <w:tcPr>
            <w:tcW w:w="3898" w:type="dxa"/>
            <w:shd w:val="clear" w:color="auto" w:fill="auto"/>
          </w:tcPr>
          <w:p w14:paraId="5D5846F8" w14:textId="5B61F459"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0.</w:t>
            </w:r>
            <w:r w:rsidR="00F459CE" w:rsidRPr="00CA2956">
              <w:rPr>
                <w:rFonts w:ascii="Helvetica" w:hAnsi="Helvetica" w:cs="Arial"/>
                <w:sz w:val="16"/>
                <w:szCs w:val="16"/>
              </w:rPr>
              <w:t>88</w:t>
            </w:r>
            <w:r w:rsidRPr="00CA2956">
              <w:rPr>
                <w:rFonts w:ascii="Helvetica" w:hAnsi="Helvetica" w:cs="Arial"/>
                <w:sz w:val="16"/>
                <w:szCs w:val="16"/>
              </w:rPr>
              <w:t>% p.a.</w:t>
            </w:r>
          </w:p>
          <w:p w14:paraId="0ABE9C4A" w14:textId="0719C27C" w:rsidR="00F459CE" w:rsidRPr="00CA2956" w:rsidRDefault="00F459CE" w:rsidP="009479DE">
            <w:pPr>
              <w:pStyle w:val="TableHeading2"/>
              <w:spacing w:line="240" w:lineRule="auto"/>
              <w:rPr>
                <w:rFonts w:ascii="Helvetica" w:hAnsi="Helvetica" w:cs="Arial"/>
                <w:sz w:val="16"/>
                <w:szCs w:val="16"/>
              </w:rPr>
            </w:pPr>
          </w:p>
        </w:tc>
        <w:tc>
          <w:tcPr>
            <w:tcW w:w="3898" w:type="dxa"/>
            <w:shd w:val="clear" w:color="auto" w:fill="auto"/>
          </w:tcPr>
          <w:p w14:paraId="4D7E6905" w14:textId="57E7E93A"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0.</w:t>
            </w:r>
            <w:r w:rsidR="00F459CE" w:rsidRPr="00CA2956">
              <w:rPr>
                <w:rFonts w:ascii="Helvetica" w:hAnsi="Helvetica" w:cs="Arial"/>
                <w:sz w:val="16"/>
                <w:szCs w:val="16"/>
              </w:rPr>
              <w:t>88</w:t>
            </w:r>
            <w:r w:rsidRPr="00CA2956">
              <w:rPr>
                <w:rFonts w:ascii="Helvetica" w:hAnsi="Helvetica" w:cs="Arial"/>
                <w:sz w:val="16"/>
                <w:szCs w:val="16"/>
              </w:rPr>
              <w:t>% p.a</w:t>
            </w:r>
            <w:r w:rsidR="005E23AA" w:rsidRPr="00CA2956">
              <w:rPr>
                <w:rFonts w:ascii="Helvetica" w:hAnsi="Helvetica" w:cs="Arial"/>
                <w:sz w:val="16"/>
                <w:szCs w:val="16"/>
              </w:rPr>
              <w:t xml:space="preserve">. </w:t>
            </w:r>
          </w:p>
        </w:tc>
      </w:tr>
      <w:tr w:rsidR="00F459CE" w:rsidRPr="0060610C" w14:paraId="64155913" w14:textId="77777777" w:rsidTr="002E5240">
        <w:trPr>
          <w:cantSplit/>
          <w:trHeight w:val="308"/>
        </w:trPr>
        <w:tc>
          <w:tcPr>
            <w:tcW w:w="2410" w:type="dxa"/>
          </w:tcPr>
          <w:p w14:paraId="69C55237" w14:textId="5C4A14DD" w:rsidR="00F459CE" w:rsidRPr="00CA2956" w:rsidRDefault="00F459CE" w:rsidP="009479DE">
            <w:pPr>
              <w:pStyle w:val="Table"/>
              <w:spacing w:line="240" w:lineRule="auto"/>
              <w:rPr>
                <w:rFonts w:ascii="Helvetica" w:hAnsi="Helvetica" w:cs="Arial"/>
                <w:b/>
                <w:bCs/>
                <w:sz w:val="16"/>
                <w:szCs w:val="16"/>
              </w:rPr>
            </w:pPr>
            <w:bookmarkStart w:id="5" w:name="_Hlk140074349"/>
            <w:bookmarkEnd w:id="3"/>
            <w:r w:rsidRPr="00CA2956">
              <w:rPr>
                <w:rFonts w:ascii="Helvetica" w:hAnsi="Helvetica" w:cs="Arial"/>
                <w:b/>
                <w:bCs/>
                <w:sz w:val="16"/>
                <w:szCs w:val="16"/>
              </w:rPr>
              <w:t>Performance fees</w:t>
            </w:r>
          </w:p>
        </w:tc>
        <w:tc>
          <w:tcPr>
            <w:tcW w:w="3898" w:type="dxa"/>
            <w:shd w:val="clear" w:color="auto" w:fill="auto"/>
          </w:tcPr>
          <w:p w14:paraId="51EFEF4E" w14:textId="18AFBC74" w:rsidR="00F459CE" w:rsidRPr="00CA2956" w:rsidRDefault="00F459CE" w:rsidP="009479DE">
            <w:pPr>
              <w:pStyle w:val="TableHeading2"/>
              <w:spacing w:line="240" w:lineRule="auto"/>
              <w:rPr>
                <w:rFonts w:ascii="Helvetica" w:hAnsi="Helvetica" w:cs="Arial"/>
                <w:sz w:val="16"/>
                <w:szCs w:val="16"/>
              </w:rPr>
            </w:pPr>
            <w:r w:rsidRPr="00CA2956">
              <w:rPr>
                <w:rFonts w:ascii="Helvetica" w:hAnsi="Helvetica" w:cs="Arial"/>
                <w:sz w:val="16"/>
                <w:szCs w:val="16"/>
              </w:rPr>
              <w:t>Not applicable</w:t>
            </w:r>
          </w:p>
        </w:tc>
        <w:tc>
          <w:tcPr>
            <w:tcW w:w="3898" w:type="dxa"/>
            <w:shd w:val="clear" w:color="auto" w:fill="auto"/>
          </w:tcPr>
          <w:p w14:paraId="7CBC6FAE" w14:textId="6B61E230" w:rsidR="00F459CE" w:rsidRPr="00CA2956" w:rsidRDefault="00F459CE" w:rsidP="009479DE">
            <w:pPr>
              <w:spacing w:line="240" w:lineRule="auto"/>
              <w:rPr>
                <w:rFonts w:ascii="Helvetica" w:hAnsi="Helvetica" w:cs="Arial"/>
                <w:szCs w:val="16"/>
              </w:rPr>
            </w:pPr>
            <w:r w:rsidRPr="00CA2956">
              <w:rPr>
                <w:rFonts w:ascii="Helvetica" w:hAnsi="Helvetica" w:cs="Arial"/>
                <w:szCs w:val="16"/>
              </w:rPr>
              <w:t>Not applicable</w:t>
            </w:r>
          </w:p>
        </w:tc>
      </w:tr>
      <w:tr w:rsidR="003A00AF" w:rsidRPr="0060610C" w14:paraId="45199AE1" w14:textId="77777777" w:rsidTr="002E5240">
        <w:trPr>
          <w:cantSplit/>
          <w:trHeight w:val="308"/>
        </w:trPr>
        <w:tc>
          <w:tcPr>
            <w:tcW w:w="2410" w:type="dxa"/>
          </w:tcPr>
          <w:p w14:paraId="71CE5292" w14:textId="54E44817" w:rsidR="003A00AF" w:rsidRPr="00CA2956" w:rsidRDefault="003A00AF" w:rsidP="009479DE">
            <w:pPr>
              <w:pStyle w:val="Table"/>
              <w:spacing w:line="240" w:lineRule="auto"/>
              <w:rPr>
                <w:rFonts w:ascii="Helvetica" w:hAnsi="Helvetica" w:cs="Arial"/>
                <w:b/>
                <w:bCs/>
                <w:sz w:val="16"/>
                <w:szCs w:val="16"/>
              </w:rPr>
            </w:pPr>
            <w:r w:rsidRPr="00CA2956">
              <w:rPr>
                <w:rFonts w:ascii="Helvetica" w:hAnsi="Helvetica" w:cs="Arial"/>
                <w:b/>
                <w:bCs/>
                <w:sz w:val="16"/>
                <w:szCs w:val="16"/>
              </w:rPr>
              <w:t>Indirect transactional &amp; operational costs (estimated)</w:t>
            </w:r>
            <w:r w:rsidR="00345F1E" w:rsidRPr="00CA2956">
              <w:rPr>
                <w:rStyle w:val="FootnoteReference"/>
                <w:rFonts w:ascii="Helvetica" w:hAnsi="Helvetica" w:cs="Arial"/>
                <w:b/>
                <w:bCs/>
                <w:sz w:val="16"/>
                <w:szCs w:val="16"/>
              </w:rPr>
              <w:footnoteReference w:id="4"/>
            </w:r>
          </w:p>
        </w:tc>
        <w:tc>
          <w:tcPr>
            <w:tcW w:w="3898" w:type="dxa"/>
            <w:shd w:val="clear" w:color="auto" w:fill="auto"/>
          </w:tcPr>
          <w:p w14:paraId="13428F85" w14:textId="362FEB79"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0.</w:t>
            </w:r>
            <w:r w:rsidR="00F459CE" w:rsidRPr="00CA2956">
              <w:rPr>
                <w:rFonts w:ascii="Helvetica" w:hAnsi="Helvetica" w:cs="Arial"/>
                <w:sz w:val="16"/>
                <w:szCs w:val="16"/>
              </w:rPr>
              <w:t>38</w:t>
            </w:r>
            <w:r w:rsidRPr="00CA2956">
              <w:rPr>
                <w:rFonts w:ascii="Helvetica" w:hAnsi="Helvetica" w:cs="Arial"/>
                <w:sz w:val="16"/>
                <w:szCs w:val="16"/>
              </w:rPr>
              <w:t>% p.a.</w:t>
            </w:r>
          </w:p>
        </w:tc>
        <w:tc>
          <w:tcPr>
            <w:tcW w:w="3898" w:type="dxa"/>
            <w:shd w:val="clear" w:color="auto" w:fill="auto"/>
          </w:tcPr>
          <w:p w14:paraId="7B88AB1E" w14:textId="7355AEA4" w:rsidR="003A00AF" w:rsidRPr="00CA2956" w:rsidRDefault="003A00AF" w:rsidP="009479DE">
            <w:pPr>
              <w:pStyle w:val="TableHeading2"/>
              <w:spacing w:line="240" w:lineRule="auto"/>
              <w:rPr>
                <w:rFonts w:ascii="Helvetica" w:hAnsi="Helvetica" w:cs="Arial"/>
                <w:sz w:val="16"/>
                <w:szCs w:val="16"/>
              </w:rPr>
            </w:pPr>
            <w:r w:rsidRPr="00CA2956">
              <w:rPr>
                <w:rFonts w:ascii="Helvetica" w:hAnsi="Helvetica" w:cs="Arial"/>
                <w:sz w:val="16"/>
                <w:szCs w:val="16"/>
              </w:rPr>
              <w:t>0.</w:t>
            </w:r>
            <w:r w:rsidR="003C34A4" w:rsidRPr="00CA2956">
              <w:rPr>
                <w:rFonts w:ascii="Helvetica" w:hAnsi="Helvetica" w:cs="Arial"/>
                <w:sz w:val="16"/>
                <w:szCs w:val="16"/>
              </w:rPr>
              <w:t>17</w:t>
            </w:r>
            <w:r w:rsidRPr="00CA2956">
              <w:rPr>
                <w:rFonts w:ascii="Helvetica" w:hAnsi="Helvetica" w:cs="Arial"/>
                <w:sz w:val="16"/>
                <w:szCs w:val="16"/>
              </w:rPr>
              <w:t>% p.a.</w:t>
            </w:r>
          </w:p>
        </w:tc>
      </w:tr>
      <w:bookmarkEnd w:id="5"/>
    </w:tbl>
    <w:p w14:paraId="623C5DFC" w14:textId="77777777" w:rsidR="00973236" w:rsidRDefault="00973236">
      <w:pPr>
        <w:spacing w:after="0" w:line="240" w:lineRule="auto"/>
        <w:rPr>
          <w:rFonts w:ascii="Helvetica" w:hAnsi="Helvetica"/>
          <w:b/>
          <w:bCs/>
          <w:color w:val="2B41B1"/>
          <w:sz w:val="18"/>
          <w:szCs w:val="18"/>
        </w:rPr>
      </w:pPr>
      <w:r>
        <w:rPr>
          <w:rFonts w:ascii="Helvetica" w:hAnsi="Helvetica"/>
          <w:b/>
          <w:bCs/>
          <w:color w:val="2B41B1"/>
          <w:sz w:val="18"/>
          <w:szCs w:val="18"/>
        </w:rPr>
        <w:br w:type="page"/>
      </w:r>
    </w:p>
    <w:p w14:paraId="3E1188AC" w14:textId="2F4E19B1" w:rsidR="00E27E5D"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lastRenderedPageBreak/>
        <w:t xml:space="preserve">ABOUT THE </w:t>
      </w:r>
      <w:r w:rsidR="00F459CE">
        <w:rPr>
          <w:rFonts w:ascii="Helvetica" w:hAnsi="Helvetica"/>
          <w:b/>
          <w:bCs/>
          <w:color w:val="2B41B1"/>
          <w:sz w:val="18"/>
          <w:szCs w:val="18"/>
        </w:rPr>
        <w:t xml:space="preserve">GENERATION LIFE TAX EFFECTIVE GROWTH </w:t>
      </w:r>
      <w:r w:rsidR="005E23AA">
        <w:rPr>
          <w:rFonts w:ascii="Helvetica" w:hAnsi="Helvetica"/>
          <w:b/>
          <w:bCs/>
          <w:color w:val="2B41B1"/>
          <w:sz w:val="18"/>
          <w:szCs w:val="18"/>
        </w:rPr>
        <w:t>FUND</w:t>
      </w:r>
      <w:r w:rsidRPr="00793596">
        <w:rPr>
          <w:rFonts w:ascii="Helvetica" w:hAnsi="Helvetica"/>
          <w:b/>
          <w:bCs/>
          <w:color w:val="2B41B1"/>
          <w:sz w:val="18"/>
          <w:szCs w:val="18"/>
        </w:rPr>
        <w:t xml:space="preserve"> </w:t>
      </w:r>
    </w:p>
    <w:p w14:paraId="41B50FAB" w14:textId="09B7AE43" w:rsidR="00E27E5D" w:rsidRPr="00793596" w:rsidRDefault="00E27E5D" w:rsidP="00E27E5D">
      <w:pPr>
        <w:ind w:right="-75"/>
        <w:rPr>
          <w:rFonts w:ascii="Helvetica" w:hAnsi="Helvetica"/>
          <w:b/>
          <w:bCs/>
          <w:sz w:val="18"/>
          <w:szCs w:val="18"/>
        </w:rPr>
      </w:pPr>
      <w:r w:rsidRPr="00793596">
        <w:rPr>
          <w:rFonts w:ascii="Helvetica" w:hAnsi="Helvetica"/>
          <w:b/>
          <w:bCs/>
          <w:sz w:val="18"/>
          <w:szCs w:val="18"/>
        </w:rPr>
        <w:t>What is the strategy</w:t>
      </w:r>
      <w:r w:rsidR="00A654A9">
        <w:rPr>
          <w:rFonts w:ascii="Helvetica" w:hAnsi="Helvetica"/>
          <w:b/>
          <w:bCs/>
          <w:sz w:val="18"/>
          <w:szCs w:val="18"/>
        </w:rPr>
        <w:t xml:space="preserve"> and how will it be managed</w:t>
      </w:r>
      <w:r w:rsidRPr="00793596">
        <w:rPr>
          <w:rFonts w:ascii="Helvetica" w:hAnsi="Helvetica"/>
          <w:b/>
          <w:bCs/>
          <w:sz w:val="18"/>
          <w:szCs w:val="18"/>
        </w:rPr>
        <w:t>?</w:t>
      </w:r>
    </w:p>
    <w:p w14:paraId="171A62D8" w14:textId="64EAD0FF" w:rsidR="003911C4" w:rsidRDefault="003911C4" w:rsidP="00535365">
      <w:pPr>
        <w:autoSpaceDE w:val="0"/>
        <w:autoSpaceDN w:val="0"/>
        <w:adjustRightInd w:val="0"/>
        <w:spacing w:after="0" w:line="240" w:lineRule="auto"/>
        <w:rPr>
          <w:rFonts w:ascii="Helvetica" w:hAnsi="Helvetica" w:cs="Arial"/>
          <w:sz w:val="18"/>
          <w:szCs w:val="18"/>
        </w:rPr>
      </w:pPr>
      <w:r w:rsidRPr="007E0A9C">
        <w:rPr>
          <w:rFonts w:ascii="Helvetica" w:hAnsi="Helvetica" w:cs="Arial"/>
          <w:sz w:val="18"/>
          <w:szCs w:val="18"/>
        </w:rPr>
        <w:t xml:space="preserve">The </w:t>
      </w:r>
      <w:r w:rsidR="00A47CEE">
        <w:rPr>
          <w:rFonts w:ascii="Helvetica" w:hAnsi="Helvetica" w:cs="Arial"/>
          <w:sz w:val="18"/>
          <w:szCs w:val="18"/>
        </w:rPr>
        <w:t>f</w:t>
      </w:r>
      <w:r w:rsidRPr="007E0A9C">
        <w:rPr>
          <w:rFonts w:ascii="Helvetica" w:hAnsi="Helvetica" w:cs="Arial"/>
          <w:sz w:val="18"/>
          <w:szCs w:val="18"/>
        </w:rPr>
        <w:t xml:space="preserve">und </w:t>
      </w:r>
      <w:r w:rsidR="00EE05D8">
        <w:rPr>
          <w:rFonts w:ascii="Helvetica" w:hAnsi="Helvetica" w:cs="Arial"/>
          <w:sz w:val="18"/>
          <w:szCs w:val="18"/>
        </w:rPr>
        <w:t xml:space="preserve">will </w:t>
      </w:r>
      <w:r w:rsidRPr="007E0A9C">
        <w:rPr>
          <w:rFonts w:ascii="Helvetica" w:hAnsi="Helvetica" w:cs="Arial"/>
          <w:sz w:val="18"/>
          <w:szCs w:val="18"/>
        </w:rPr>
        <w:t xml:space="preserve">typically invest in a diversified portfolio mix with exposure to growth investments of around 70% and defensive assets of around 30%. </w:t>
      </w:r>
      <w:r w:rsidR="00A47CEE" w:rsidRPr="00A47CEE">
        <w:rPr>
          <w:rFonts w:ascii="Helvetica" w:hAnsi="Helvetica" w:cs="Arial"/>
          <w:sz w:val="18"/>
          <w:szCs w:val="18"/>
        </w:rPr>
        <w:t xml:space="preserve">The fund aims to provide long-term capital growth by investing in a range of global asset classes. In actively managing the portfolio, the </w:t>
      </w:r>
      <w:r w:rsidR="00A47CEE">
        <w:rPr>
          <w:rFonts w:ascii="Helvetica" w:hAnsi="Helvetica" w:cs="Arial"/>
          <w:sz w:val="18"/>
          <w:szCs w:val="18"/>
        </w:rPr>
        <w:t>m</w:t>
      </w:r>
      <w:r w:rsidR="00A47CEE" w:rsidRPr="00A47CEE">
        <w:rPr>
          <w:rFonts w:ascii="Helvetica" w:hAnsi="Helvetica" w:cs="Arial"/>
          <w:sz w:val="18"/>
          <w:szCs w:val="18"/>
        </w:rPr>
        <w:t xml:space="preserve">anager will tactically allocate investments across asset classes and geographic areas (including emerging markets) based on their potential to generate capital growth or reduce overall risk. The fund may use derivatives for efficient portfolio management and investment purposes. The </w:t>
      </w:r>
      <w:r w:rsidR="00A47CEE">
        <w:rPr>
          <w:rFonts w:ascii="Helvetica" w:hAnsi="Helvetica" w:cs="Arial"/>
          <w:sz w:val="18"/>
          <w:szCs w:val="18"/>
        </w:rPr>
        <w:t>m</w:t>
      </w:r>
      <w:r w:rsidR="00A47CEE" w:rsidRPr="00A47CEE">
        <w:rPr>
          <w:rFonts w:ascii="Helvetica" w:hAnsi="Helvetica" w:cs="Arial"/>
          <w:sz w:val="18"/>
          <w:szCs w:val="18"/>
        </w:rPr>
        <w:t>anager will seek to manage the portfolio in a tax-aware manner.</w:t>
      </w:r>
    </w:p>
    <w:p w14:paraId="0FC9CEA1" w14:textId="77777777" w:rsidR="003911C4" w:rsidRDefault="003911C4" w:rsidP="00535365">
      <w:pPr>
        <w:autoSpaceDE w:val="0"/>
        <w:autoSpaceDN w:val="0"/>
        <w:adjustRightInd w:val="0"/>
        <w:spacing w:after="0" w:line="240" w:lineRule="auto"/>
        <w:rPr>
          <w:rFonts w:ascii="Helvetica" w:hAnsi="Helvetica" w:cs="Arial"/>
          <w:sz w:val="18"/>
          <w:szCs w:val="18"/>
        </w:rPr>
      </w:pPr>
    </w:p>
    <w:p w14:paraId="16260D72" w14:textId="1D4D6266" w:rsidR="00D74F68" w:rsidRDefault="00535365" w:rsidP="0053536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The </w:t>
      </w:r>
      <w:r w:rsidR="00EE05D8">
        <w:rPr>
          <w:rFonts w:ascii="Arial" w:hAnsi="Arial" w:cs="Arial"/>
          <w:color w:val="000000"/>
          <w:sz w:val="18"/>
          <w:szCs w:val="18"/>
        </w:rPr>
        <w:t xml:space="preserve">manager’s </w:t>
      </w:r>
      <w:r w:rsidRPr="00535365">
        <w:rPr>
          <w:rFonts w:ascii="Arial" w:hAnsi="Arial" w:cs="Arial"/>
          <w:color w:val="000000"/>
          <w:sz w:val="18"/>
          <w:szCs w:val="18"/>
        </w:rPr>
        <w:t xml:space="preserve">investment process is based on proprietary research, capturing the asset allocation perspectives of </w:t>
      </w:r>
      <w:r w:rsidR="00C91294">
        <w:rPr>
          <w:rFonts w:ascii="Arial" w:hAnsi="Arial" w:cs="Arial"/>
          <w:color w:val="000000"/>
          <w:sz w:val="18"/>
          <w:szCs w:val="18"/>
        </w:rPr>
        <w:t>the Fidelity</w:t>
      </w:r>
      <w:r w:rsidRPr="00535365">
        <w:rPr>
          <w:rFonts w:ascii="Arial" w:hAnsi="Arial" w:cs="Arial"/>
          <w:color w:val="000000"/>
          <w:sz w:val="18"/>
          <w:szCs w:val="18"/>
        </w:rPr>
        <w:t xml:space="preserve"> multi asset investment team, combined with the fundamental and bottom-up insights of Fidelity’s global research platform. </w:t>
      </w:r>
    </w:p>
    <w:p w14:paraId="2EAAC0D3" w14:textId="77777777" w:rsidR="00D74F68" w:rsidRPr="00535365" w:rsidRDefault="00D74F68" w:rsidP="00535365">
      <w:pPr>
        <w:autoSpaceDE w:val="0"/>
        <w:autoSpaceDN w:val="0"/>
        <w:adjustRightInd w:val="0"/>
        <w:spacing w:after="0" w:line="240" w:lineRule="auto"/>
        <w:rPr>
          <w:rFonts w:ascii="Arial" w:hAnsi="Arial" w:cs="Arial"/>
          <w:color w:val="000000"/>
          <w:sz w:val="18"/>
          <w:szCs w:val="18"/>
        </w:rPr>
      </w:pPr>
    </w:p>
    <w:p w14:paraId="0083ADE3" w14:textId="12A661C8" w:rsidR="00D74F68" w:rsidRDefault="00981D36" w:rsidP="00D74F68">
      <w:pPr>
        <w:autoSpaceDE w:val="0"/>
        <w:autoSpaceDN w:val="0"/>
        <w:adjustRightInd w:val="0"/>
        <w:spacing w:after="0" w:line="240" w:lineRule="auto"/>
        <w:rPr>
          <w:rFonts w:ascii="Helvetica" w:hAnsi="Helvetica" w:cs="Arial"/>
          <w:sz w:val="18"/>
          <w:szCs w:val="18"/>
        </w:rPr>
      </w:pPr>
      <w:r>
        <w:rPr>
          <w:rFonts w:ascii="Arial" w:hAnsi="Arial" w:cs="Arial"/>
          <w:color w:val="000000"/>
          <w:sz w:val="18"/>
          <w:szCs w:val="18"/>
        </w:rPr>
        <w:t xml:space="preserve">The </w:t>
      </w:r>
      <w:r w:rsidR="00EE05D8">
        <w:rPr>
          <w:rFonts w:ascii="Arial" w:hAnsi="Arial" w:cs="Arial"/>
          <w:color w:val="000000"/>
          <w:sz w:val="18"/>
          <w:szCs w:val="18"/>
        </w:rPr>
        <w:t xml:space="preserve">manager utilises </w:t>
      </w:r>
      <w:r w:rsidR="00535365" w:rsidRPr="00535365">
        <w:rPr>
          <w:rFonts w:ascii="Arial" w:hAnsi="Arial" w:cs="Arial"/>
          <w:color w:val="000000"/>
          <w:sz w:val="18"/>
          <w:szCs w:val="18"/>
        </w:rPr>
        <w:t xml:space="preserve">a full range of </w:t>
      </w:r>
      <w:r w:rsidR="00EE05D8">
        <w:rPr>
          <w:rFonts w:ascii="Arial" w:hAnsi="Arial" w:cs="Arial"/>
          <w:color w:val="000000"/>
          <w:sz w:val="18"/>
          <w:szCs w:val="18"/>
        </w:rPr>
        <w:t xml:space="preserve">multi-asset and multi-manager investment strategies to </w:t>
      </w:r>
      <w:r w:rsidR="00535365" w:rsidRPr="00535365">
        <w:rPr>
          <w:rFonts w:ascii="Arial" w:hAnsi="Arial" w:cs="Arial"/>
          <w:color w:val="000000"/>
          <w:sz w:val="18"/>
          <w:szCs w:val="18"/>
        </w:rPr>
        <w:t>implemen</w:t>
      </w:r>
      <w:r w:rsidR="00EE05D8">
        <w:rPr>
          <w:rFonts w:ascii="Arial" w:hAnsi="Arial" w:cs="Arial"/>
          <w:color w:val="000000"/>
          <w:sz w:val="18"/>
          <w:szCs w:val="18"/>
        </w:rPr>
        <w:t>t</w:t>
      </w:r>
      <w:r w:rsidR="00535365" w:rsidRPr="00535365">
        <w:rPr>
          <w:rFonts w:ascii="Arial" w:hAnsi="Arial" w:cs="Arial"/>
          <w:color w:val="000000"/>
          <w:sz w:val="18"/>
          <w:szCs w:val="18"/>
        </w:rPr>
        <w:t xml:space="preserve"> </w:t>
      </w:r>
      <w:r w:rsidR="00EE05D8">
        <w:rPr>
          <w:rFonts w:ascii="Arial" w:hAnsi="Arial" w:cs="Arial"/>
          <w:color w:val="000000"/>
          <w:sz w:val="18"/>
          <w:szCs w:val="18"/>
        </w:rPr>
        <w:t xml:space="preserve">its </w:t>
      </w:r>
      <w:r w:rsidR="00535365" w:rsidRPr="00535365">
        <w:rPr>
          <w:rFonts w:ascii="Arial" w:hAnsi="Arial" w:cs="Arial"/>
          <w:color w:val="000000"/>
          <w:sz w:val="18"/>
          <w:szCs w:val="18"/>
        </w:rPr>
        <w:t>investment views, including active and passive strategies</w:t>
      </w:r>
      <w:r w:rsidR="00EE05D8">
        <w:rPr>
          <w:rFonts w:ascii="Arial" w:hAnsi="Arial" w:cs="Arial"/>
          <w:color w:val="000000"/>
          <w:sz w:val="18"/>
          <w:szCs w:val="18"/>
        </w:rPr>
        <w:t>.</w:t>
      </w:r>
      <w:r w:rsidR="00535365" w:rsidRPr="00535365">
        <w:rPr>
          <w:rFonts w:ascii="Arial" w:hAnsi="Arial" w:cs="Arial"/>
          <w:color w:val="000000"/>
          <w:sz w:val="18"/>
          <w:szCs w:val="18"/>
        </w:rPr>
        <w:t xml:space="preserve"> This </w:t>
      </w:r>
      <w:r w:rsidR="00EE05D8">
        <w:rPr>
          <w:rFonts w:ascii="Arial" w:hAnsi="Arial" w:cs="Arial"/>
          <w:color w:val="000000"/>
          <w:sz w:val="18"/>
          <w:szCs w:val="18"/>
        </w:rPr>
        <w:t xml:space="preserve">enables the manager </w:t>
      </w:r>
      <w:r w:rsidR="00535365" w:rsidRPr="00535365">
        <w:rPr>
          <w:rFonts w:ascii="Arial" w:hAnsi="Arial" w:cs="Arial"/>
          <w:color w:val="000000"/>
          <w:sz w:val="18"/>
          <w:szCs w:val="18"/>
        </w:rPr>
        <w:t xml:space="preserve">to access </w:t>
      </w:r>
      <w:r w:rsidR="00EE05D8">
        <w:rPr>
          <w:rFonts w:ascii="Arial" w:hAnsi="Arial" w:cs="Arial"/>
          <w:color w:val="000000"/>
          <w:sz w:val="18"/>
          <w:szCs w:val="18"/>
        </w:rPr>
        <w:t xml:space="preserve">a diversified range of best-in-class investment strategies in a </w:t>
      </w:r>
      <w:r w:rsidR="00535365" w:rsidRPr="00535365">
        <w:rPr>
          <w:rFonts w:ascii="Arial" w:hAnsi="Arial" w:cs="Arial"/>
          <w:color w:val="000000"/>
          <w:sz w:val="18"/>
          <w:szCs w:val="18"/>
        </w:rPr>
        <w:t xml:space="preserve">cost-effective </w:t>
      </w:r>
      <w:r w:rsidR="00EE05D8">
        <w:rPr>
          <w:rFonts w:ascii="Arial" w:hAnsi="Arial" w:cs="Arial"/>
          <w:color w:val="000000"/>
          <w:sz w:val="18"/>
          <w:szCs w:val="18"/>
        </w:rPr>
        <w:t>manner</w:t>
      </w:r>
      <w:r w:rsidR="00535365" w:rsidRPr="008419ED">
        <w:rPr>
          <w:rFonts w:ascii="Helvetica" w:hAnsi="Helvetica" w:cs="Arial"/>
          <w:sz w:val="18"/>
          <w:szCs w:val="18"/>
        </w:rPr>
        <w:t>.</w:t>
      </w:r>
      <w:r w:rsidR="00D74F68" w:rsidRPr="008419ED">
        <w:rPr>
          <w:rFonts w:ascii="Helvetica" w:hAnsi="Helvetica" w:cs="Arial"/>
          <w:sz w:val="18"/>
          <w:szCs w:val="18"/>
        </w:rPr>
        <w:t xml:space="preserve"> </w:t>
      </w:r>
    </w:p>
    <w:p w14:paraId="0C30D1A3" w14:textId="77777777" w:rsidR="00D74F68" w:rsidRPr="008419ED" w:rsidRDefault="00D74F68" w:rsidP="008419ED">
      <w:pPr>
        <w:autoSpaceDE w:val="0"/>
        <w:autoSpaceDN w:val="0"/>
        <w:adjustRightInd w:val="0"/>
        <w:spacing w:after="0" w:line="240" w:lineRule="auto"/>
        <w:rPr>
          <w:rFonts w:ascii="Helvetica" w:hAnsi="Helvetica" w:cs="Arial"/>
          <w:sz w:val="18"/>
          <w:szCs w:val="18"/>
        </w:rPr>
      </w:pPr>
    </w:p>
    <w:p w14:paraId="3CBEB0A6" w14:textId="0ECE6426" w:rsidR="00D74F68" w:rsidRDefault="006204F6" w:rsidP="00D74F68">
      <w:pPr>
        <w:autoSpaceDE w:val="0"/>
        <w:autoSpaceDN w:val="0"/>
        <w:adjustRightInd w:val="0"/>
        <w:spacing w:after="0" w:line="240" w:lineRule="auto"/>
        <w:rPr>
          <w:rFonts w:ascii="Helvetica" w:hAnsi="Helvetica"/>
          <w:sz w:val="18"/>
          <w:szCs w:val="18"/>
          <w:lang w:val="en-US"/>
        </w:rPr>
      </w:pPr>
      <w:r w:rsidRPr="008419ED">
        <w:rPr>
          <w:rFonts w:ascii="Helvetica" w:hAnsi="Helvetica" w:cs="Arial"/>
          <w:sz w:val="18"/>
          <w:szCs w:val="18"/>
        </w:rPr>
        <w:t xml:space="preserve">The </w:t>
      </w:r>
      <w:r w:rsidR="0047712A" w:rsidRPr="008419ED">
        <w:rPr>
          <w:rFonts w:ascii="Helvetica" w:hAnsi="Helvetica" w:cs="Arial"/>
          <w:sz w:val="18"/>
          <w:szCs w:val="18"/>
        </w:rPr>
        <w:t>manager</w:t>
      </w:r>
      <w:r w:rsidRPr="008419ED">
        <w:rPr>
          <w:rFonts w:ascii="Helvetica" w:hAnsi="Helvetica" w:cs="Arial"/>
          <w:sz w:val="18"/>
          <w:szCs w:val="18"/>
        </w:rPr>
        <w:t xml:space="preserve"> follows a </w:t>
      </w:r>
      <w:r w:rsidR="00345F1E" w:rsidRPr="008419ED">
        <w:rPr>
          <w:rFonts w:ascii="Helvetica" w:hAnsi="Helvetica" w:cs="Arial"/>
          <w:sz w:val="18"/>
          <w:szCs w:val="18"/>
        </w:rPr>
        <w:t xml:space="preserve">strategic asset allocation and tactical asset allocation </w:t>
      </w:r>
      <w:r w:rsidRPr="008419ED">
        <w:rPr>
          <w:rFonts w:ascii="Helvetica" w:hAnsi="Helvetica" w:cs="Arial"/>
          <w:sz w:val="18"/>
          <w:szCs w:val="18"/>
        </w:rPr>
        <w:t>process</w:t>
      </w:r>
      <w:r w:rsidR="00E35FB0" w:rsidRPr="008419ED">
        <w:rPr>
          <w:rFonts w:ascii="Helvetica" w:hAnsi="Helvetica" w:cs="Arial"/>
          <w:sz w:val="18"/>
          <w:szCs w:val="18"/>
        </w:rPr>
        <w:t xml:space="preserve"> which are based on a </w:t>
      </w:r>
      <w:r w:rsidR="00CF0A27" w:rsidRPr="008419ED">
        <w:rPr>
          <w:rFonts w:ascii="Helvetica" w:hAnsi="Helvetica" w:cs="Arial"/>
          <w:sz w:val="18"/>
          <w:szCs w:val="18"/>
        </w:rPr>
        <w:t xml:space="preserve">quantitative </w:t>
      </w:r>
      <w:r w:rsidR="00E35FB0" w:rsidRPr="008419ED">
        <w:rPr>
          <w:rFonts w:ascii="Helvetica" w:hAnsi="Helvetica" w:cs="Arial"/>
          <w:sz w:val="18"/>
          <w:szCs w:val="18"/>
        </w:rPr>
        <w:t>capital markets and scenario testing model</w:t>
      </w:r>
      <w:r w:rsidR="00EC601D">
        <w:rPr>
          <w:rFonts w:ascii="Helvetica" w:hAnsi="Helvetica" w:cs="Arial"/>
          <w:sz w:val="18"/>
          <w:szCs w:val="18"/>
        </w:rPr>
        <w:t>,</w:t>
      </w:r>
      <w:r w:rsidR="00E35FB0" w:rsidRPr="008419ED">
        <w:rPr>
          <w:rFonts w:ascii="Helvetica" w:hAnsi="Helvetica" w:cs="Arial"/>
          <w:sz w:val="18"/>
          <w:szCs w:val="18"/>
        </w:rPr>
        <w:t xml:space="preserve"> which is overlaid by</w:t>
      </w:r>
      <w:r w:rsidRPr="008419ED">
        <w:rPr>
          <w:rFonts w:ascii="Helvetica" w:hAnsi="Helvetica" w:cs="Arial"/>
          <w:sz w:val="18"/>
          <w:szCs w:val="18"/>
        </w:rPr>
        <w:t xml:space="preserve"> regular forums for debate, </w:t>
      </w:r>
      <w:proofErr w:type="gramStart"/>
      <w:r w:rsidRPr="008419ED">
        <w:rPr>
          <w:rFonts w:ascii="Helvetica" w:hAnsi="Helvetica" w:cs="Arial"/>
          <w:sz w:val="18"/>
          <w:szCs w:val="18"/>
        </w:rPr>
        <w:t>discussion</w:t>
      </w:r>
      <w:proofErr w:type="gramEnd"/>
      <w:r w:rsidRPr="008419ED">
        <w:rPr>
          <w:rFonts w:ascii="Helvetica" w:hAnsi="Helvetica" w:cs="Arial"/>
          <w:sz w:val="18"/>
          <w:szCs w:val="18"/>
        </w:rPr>
        <w:t xml:space="preserve"> and challenge.</w:t>
      </w:r>
      <w:r w:rsidR="00D74F68">
        <w:rPr>
          <w:rFonts w:ascii="Helvetica" w:hAnsi="Helvetica" w:cs="Arial"/>
          <w:sz w:val="18"/>
          <w:szCs w:val="18"/>
        </w:rPr>
        <w:t xml:space="preserve"> </w:t>
      </w:r>
      <w:r w:rsidR="00F50EE4">
        <w:rPr>
          <w:rFonts w:ascii="Arial" w:hAnsi="Arial" w:cs="Arial"/>
          <w:color w:val="000000"/>
          <w:sz w:val="18"/>
          <w:szCs w:val="18"/>
        </w:rPr>
        <w:t xml:space="preserve">To achieve better portfolio outcomes the manager believes that idea generation, asset allocation, strategy selection and </w:t>
      </w:r>
      <w:r w:rsidR="00EE05D8">
        <w:rPr>
          <w:rFonts w:ascii="Arial" w:hAnsi="Arial" w:cs="Arial"/>
          <w:color w:val="000000"/>
          <w:sz w:val="18"/>
          <w:szCs w:val="18"/>
        </w:rPr>
        <w:t>investment</w:t>
      </w:r>
      <w:r w:rsidR="00F50EE4">
        <w:rPr>
          <w:rFonts w:ascii="Arial" w:hAnsi="Arial" w:cs="Arial"/>
          <w:color w:val="000000"/>
          <w:sz w:val="18"/>
          <w:szCs w:val="18"/>
        </w:rPr>
        <w:t xml:space="preserve"> implementation play </w:t>
      </w:r>
      <w:r w:rsidR="00913EF2">
        <w:rPr>
          <w:rFonts w:ascii="Arial" w:hAnsi="Arial" w:cs="Arial"/>
          <w:color w:val="000000"/>
          <w:sz w:val="18"/>
          <w:szCs w:val="18"/>
        </w:rPr>
        <w:t>a vital role in the operation of a successful portfolio.</w:t>
      </w:r>
      <w:r w:rsidR="00D74F68">
        <w:rPr>
          <w:rFonts w:ascii="Arial" w:hAnsi="Arial" w:cs="Arial"/>
          <w:color w:val="000000"/>
          <w:sz w:val="18"/>
          <w:szCs w:val="18"/>
        </w:rPr>
        <w:t xml:space="preserve"> </w:t>
      </w:r>
    </w:p>
    <w:p w14:paraId="091876D2" w14:textId="77777777" w:rsidR="00D74F68" w:rsidRDefault="00D74F68" w:rsidP="00D74F68">
      <w:pPr>
        <w:autoSpaceDE w:val="0"/>
        <w:autoSpaceDN w:val="0"/>
        <w:adjustRightInd w:val="0"/>
        <w:spacing w:after="0" w:line="240" w:lineRule="auto"/>
        <w:rPr>
          <w:rFonts w:ascii="Helvetica" w:hAnsi="Helvetica"/>
          <w:sz w:val="18"/>
          <w:szCs w:val="18"/>
          <w:lang w:val="en-US"/>
        </w:rPr>
      </w:pPr>
    </w:p>
    <w:p w14:paraId="7EB74A33" w14:textId="0068A98C" w:rsidR="00244A82" w:rsidRDefault="00244A82" w:rsidP="00D74F68">
      <w:pPr>
        <w:autoSpaceDE w:val="0"/>
        <w:autoSpaceDN w:val="0"/>
        <w:adjustRightInd w:val="0"/>
        <w:spacing w:after="0" w:line="240" w:lineRule="auto"/>
        <w:rPr>
          <w:rFonts w:ascii="Helvetica" w:hAnsi="Helvetica"/>
          <w:sz w:val="18"/>
          <w:szCs w:val="18"/>
          <w:lang w:val="en-US"/>
        </w:rPr>
      </w:pPr>
      <w:r w:rsidRPr="008419ED">
        <w:rPr>
          <w:rFonts w:ascii="Helvetica" w:hAnsi="Helvetica"/>
          <w:sz w:val="18"/>
          <w:szCs w:val="18"/>
          <w:lang w:val="en-US"/>
        </w:rPr>
        <w:t xml:space="preserve">There are four key elements to the </w:t>
      </w:r>
      <w:r w:rsidR="00EC601D">
        <w:rPr>
          <w:rFonts w:ascii="Helvetica" w:hAnsi="Helvetica"/>
          <w:sz w:val="18"/>
          <w:szCs w:val="18"/>
          <w:lang w:val="en-US"/>
        </w:rPr>
        <w:t xml:space="preserve">investment </w:t>
      </w:r>
      <w:r w:rsidRPr="008419ED">
        <w:rPr>
          <w:rFonts w:ascii="Helvetica" w:hAnsi="Helvetica"/>
          <w:sz w:val="18"/>
          <w:szCs w:val="18"/>
          <w:lang w:val="en-US"/>
        </w:rPr>
        <w:t xml:space="preserve">strategy design which </w:t>
      </w:r>
      <w:r w:rsidR="00EB6AC7">
        <w:rPr>
          <w:rFonts w:ascii="Helvetica" w:hAnsi="Helvetica"/>
          <w:sz w:val="18"/>
          <w:szCs w:val="18"/>
          <w:lang w:val="en-US"/>
        </w:rPr>
        <w:t xml:space="preserve">are expected to </w:t>
      </w:r>
      <w:r w:rsidRPr="008419ED">
        <w:rPr>
          <w:rFonts w:ascii="Helvetica" w:hAnsi="Helvetica"/>
          <w:sz w:val="18"/>
          <w:szCs w:val="18"/>
          <w:lang w:val="en-US"/>
        </w:rPr>
        <w:t xml:space="preserve">lead to </w:t>
      </w:r>
      <w:r w:rsidR="00EE05D8">
        <w:rPr>
          <w:rFonts w:ascii="Helvetica" w:hAnsi="Helvetica"/>
          <w:sz w:val="18"/>
          <w:szCs w:val="18"/>
          <w:lang w:val="en-US"/>
        </w:rPr>
        <w:t xml:space="preserve">enhanced </w:t>
      </w:r>
      <w:r w:rsidRPr="008419ED">
        <w:rPr>
          <w:rFonts w:ascii="Helvetica" w:hAnsi="Helvetica"/>
          <w:sz w:val="18"/>
          <w:szCs w:val="18"/>
          <w:lang w:val="en-US"/>
        </w:rPr>
        <w:t>outcomes for investors</w:t>
      </w:r>
      <w:r w:rsidR="00D74F68">
        <w:rPr>
          <w:rFonts w:ascii="Helvetica" w:hAnsi="Helvetica"/>
          <w:sz w:val="18"/>
          <w:szCs w:val="18"/>
          <w:lang w:val="en-US"/>
        </w:rPr>
        <w:t>:</w:t>
      </w:r>
    </w:p>
    <w:p w14:paraId="07692B7D" w14:textId="77777777" w:rsidR="00D74F68" w:rsidRPr="008419ED" w:rsidRDefault="00D74F68" w:rsidP="008419ED">
      <w:pPr>
        <w:autoSpaceDE w:val="0"/>
        <w:autoSpaceDN w:val="0"/>
        <w:adjustRightInd w:val="0"/>
        <w:spacing w:after="0" w:line="240" w:lineRule="auto"/>
        <w:rPr>
          <w:rFonts w:ascii="Helvetica" w:hAnsi="Helvetica"/>
          <w:sz w:val="18"/>
          <w:szCs w:val="18"/>
          <w:lang w:val="en-US"/>
        </w:rPr>
      </w:pPr>
    </w:p>
    <w:p w14:paraId="63338E75" w14:textId="74D540A6" w:rsidR="00BE373C" w:rsidRPr="008419ED" w:rsidRDefault="00EE05D8" w:rsidP="00BE373C">
      <w:pPr>
        <w:ind w:right="-75"/>
        <w:rPr>
          <w:rFonts w:ascii="Helvetica" w:hAnsi="Helvetica"/>
          <w:sz w:val="18"/>
          <w:szCs w:val="18"/>
        </w:rPr>
      </w:pPr>
      <w:r w:rsidRPr="008419ED">
        <w:rPr>
          <w:rFonts w:ascii="Helvetica" w:hAnsi="Helvetica"/>
          <w:b/>
          <w:bCs/>
          <w:sz w:val="18"/>
          <w:szCs w:val="18"/>
          <w:lang w:val="en-US"/>
        </w:rPr>
        <w:t xml:space="preserve">Focus on </w:t>
      </w:r>
      <w:r w:rsidR="00BE373C" w:rsidRPr="008419ED">
        <w:rPr>
          <w:rFonts w:ascii="Helvetica" w:hAnsi="Helvetica"/>
          <w:b/>
          <w:bCs/>
          <w:sz w:val="18"/>
          <w:szCs w:val="18"/>
          <w:lang w:val="en-US"/>
        </w:rPr>
        <w:t>after tax returns</w:t>
      </w:r>
      <w:r w:rsidR="00BE373C" w:rsidRPr="008419ED">
        <w:rPr>
          <w:rFonts w:ascii="Helvetica" w:hAnsi="Helvetica"/>
          <w:sz w:val="18"/>
          <w:szCs w:val="18"/>
          <w:lang w:val="en-US"/>
        </w:rPr>
        <w:t xml:space="preserve"> </w:t>
      </w:r>
      <w:r w:rsidR="00333D42">
        <w:rPr>
          <w:rFonts w:ascii="Helvetica" w:hAnsi="Helvetica"/>
          <w:sz w:val="18"/>
          <w:szCs w:val="18"/>
          <w:lang w:val="en-US"/>
        </w:rPr>
        <w:t>–</w:t>
      </w:r>
      <w:r w:rsidR="00D74F68">
        <w:rPr>
          <w:rFonts w:ascii="Helvetica" w:hAnsi="Helvetica"/>
          <w:sz w:val="18"/>
          <w:szCs w:val="18"/>
          <w:lang w:val="en-US"/>
        </w:rPr>
        <w:t xml:space="preserve"> </w:t>
      </w:r>
      <w:r>
        <w:rPr>
          <w:rFonts w:ascii="Helvetica" w:hAnsi="Helvetica"/>
          <w:sz w:val="18"/>
          <w:szCs w:val="18"/>
          <w:lang w:val="en-US"/>
        </w:rPr>
        <w:t xml:space="preserve">the </w:t>
      </w:r>
      <w:r w:rsidR="00EC601D">
        <w:rPr>
          <w:rFonts w:ascii="Helvetica" w:hAnsi="Helvetica"/>
          <w:sz w:val="18"/>
          <w:szCs w:val="18"/>
          <w:lang w:val="en-US"/>
        </w:rPr>
        <w:t xml:space="preserve">investment </w:t>
      </w:r>
      <w:r>
        <w:rPr>
          <w:rFonts w:ascii="Helvetica" w:hAnsi="Helvetica"/>
          <w:sz w:val="18"/>
          <w:szCs w:val="18"/>
          <w:lang w:val="en-US"/>
        </w:rPr>
        <w:t xml:space="preserve">manager’s </w:t>
      </w:r>
      <w:r w:rsidR="00324BE0" w:rsidRPr="008419ED">
        <w:rPr>
          <w:rFonts w:ascii="Helvetica" w:hAnsi="Helvetica"/>
          <w:sz w:val="18"/>
          <w:szCs w:val="18"/>
          <w:lang w:val="en-US"/>
        </w:rPr>
        <w:t>tax aware process considers</w:t>
      </w:r>
      <w:r w:rsidR="00273D6F" w:rsidRPr="008419ED">
        <w:rPr>
          <w:rFonts w:ascii="Helvetica" w:hAnsi="Helvetica"/>
          <w:sz w:val="18"/>
          <w:szCs w:val="18"/>
          <w:lang w:val="en-US"/>
        </w:rPr>
        <w:t xml:space="preserve"> the </w:t>
      </w:r>
      <w:r>
        <w:rPr>
          <w:rFonts w:ascii="Helvetica" w:hAnsi="Helvetica"/>
          <w:sz w:val="18"/>
          <w:szCs w:val="18"/>
          <w:lang w:val="en-US"/>
        </w:rPr>
        <w:t>investment vehicle</w:t>
      </w:r>
      <w:r w:rsidR="00544878">
        <w:rPr>
          <w:rFonts w:ascii="Helvetica" w:hAnsi="Helvetica"/>
          <w:sz w:val="18"/>
          <w:szCs w:val="18"/>
          <w:lang w:val="en-US"/>
        </w:rPr>
        <w:t>(s)</w:t>
      </w:r>
      <w:r>
        <w:rPr>
          <w:rFonts w:ascii="Helvetica" w:hAnsi="Helvetica"/>
          <w:sz w:val="18"/>
          <w:szCs w:val="18"/>
          <w:lang w:val="en-US"/>
        </w:rPr>
        <w:t xml:space="preserve"> </w:t>
      </w:r>
      <w:r w:rsidR="00273D6F" w:rsidRPr="008419ED">
        <w:rPr>
          <w:rFonts w:ascii="Helvetica" w:hAnsi="Helvetica"/>
          <w:sz w:val="18"/>
          <w:szCs w:val="18"/>
          <w:lang w:val="en-US"/>
        </w:rPr>
        <w:t>chose</w:t>
      </w:r>
      <w:r>
        <w:rPr>
          <w:rFonts w:ascii="Helvetica" w:hAnsi="Helvetica"/>
          <w:sz w:val="18"/>
          <w:szCs w:val="18"/>
          <w:lang w:val="en-US"/>
        </w:rPr>
        <w:t>n</w:t>
      </w:r>
      <w:r w:rsidR="00273D6F" w:rsidRPr="008419ED">
        <w:rPr>
          <w:rFonts w:ascii="Helvetica" w:hAnsi="Helvetica"/>
          <w:sz w:val="18"/>
          <w:szCs w:val="18"/>
          <w:lang w:val="en-US"/>
        </w:rPr>
        <w:t xml:space="preserve"> to make </w:t>
      </w:r>
      <w:r>
        <w:rPr>
          <w:rFonts w:ascii="Helvetica" w:hAnsi="Helvetica"/>
          <w:sz w:val="18"/>
          <w:szCs w:val="18"/>
          <w:lang w:val="en-US"/>
        </w:rPr>
        <w:t xml:space="preserve">the </w:t>
      </w:r>
      <w:r w:rsidR="00273D6F" w:rsidRPr="008419ED">
        <w:rPr>
          <w:rFonts w:ascii="Helvetica" w:hAnsi="Helvetica"/>
          <w:sz w:val="18"/>
          <w:szCs w:val="18"/>
          <w:lang w:val="en-US"/>
        </w:rPr>
        <w:t>investment, the</w:t>
      </w:r>
      <w:r w:rsidR="00324BE0" w:rsidRPr="008419ED">
        <w:rPr>
          <w:rFonts w:ascii="Helvetica" w:hAnsi="Helvetica"/>
          <w:sz w:val="18"/>
          <w:szCs w:val="18"/>
          <w:lang w:val="en-US"/>
        </w:rPr>
        <w:t xml:space="preserve"> tax impacts of trading decisions</w:t>
      </w:r>
      <w:r w:rsidR="0040268C" w:rsidRPr="008419ED">
        <w:rPr>
          <w:rFonts w:ascii="Helvetica" w:hAnsi="Helvetica"/>
          <w:sz w:val="18"/>
          <w:szCs w:val="18"/>
          <w:lang w:val="en-US"/>
        </w:rPr>
        <w:t xml:space="preserve">, </w:t>
      </w:r>
      <w:r w:rsidR="00544878">
        <w:rPr>
          <w:rFonts w:ascii="Helvetica" w:hAnsi="Helvetica"/>
          <w:sz w:val="18"/>
          <w:szCs w:val="18"/>
          <w:lang w:val="en-US"/>
        </w:rPr>
        <w:t xml:space="preserve">factoring in the value of </w:t>
      </w:r>
      <w:r w:rsidR="00273D6F" w:rsidRPr="008419ED">
        <w:rPr>
          <w:rFonts w:ascii="Helvetica" w:hAnsi="Helvetica"/>
          <w:sz w:val="18"/>
          <w:szCs w:val="18"/>
          <w:lang w:val="en-US"/>
        </w:rPr>
        <w:t>f</w:t>
      </w:r>
      <w:r w:rsidR="00BE373C" w:rsidRPr="008419ED">
        <w:rPr>
          <w:rFonts w:ascii="Helvetica" w:hAnsi="Helvetica"/>
          <w:sz w:val="18"/>
          <w:szCs w:val="18"/>
          <w:lang w:val="en-US"/>
        </w:rPr>
        <w:t xml:space="preserve">ranking </w:t>
      </w:r>
      <w:r w:rsidR="00544878">
        <w:rPr>
          <w:rFonts w:ascii="Helvetica" w:hAnsi="Helvetica"/>
          <w:sz w:val="18"/>
          <w:szCs w:val="18"/>
          <w:lang w:val="en-US"/>
        </w:rPr>
        <w:t xml:space="preserve">and other tax </w:t>
      </w:r>
      <w:r w:rsidR="00BE373C" w:rsidRPr="008419ED">
        <w:rPr>
          <w:rFonts w:ascii="Helvetica" w:hAnsi="Helvetica"/>
          <w:sz w:val="18"/>
          <w:szCs w:val="18"/>
          <w:lang w:val="en-US"/>
        </w:rPr>
        <w:t>credits</w:t>
      </w:r>
      <w:r w:rsidR="00544878">
        <w:rPr>
          <w:rFonts w:ascii="Helvetica" w:hAnsi="Helvetica"/>
          <w:sz w:val="18"/>
          <w:szCs w:val="18"/>
          <w:lang w:val="en-US"/>
        </w:rPr>
        <w:t xml:space="preserve">, </w:t>
      </w:r>
      <w:r w:rsidR="00D10ABF" w:rsidRPr="008419ED">
        <w:rPr>
          <w:rFonts w:ascii="Helvetica" w:hAnsi="Helvetica"/>
          <w:sz w:val="18"/>
          <w:szCs w:val="18"/>
          <w:lang w:val="en-US"/>
        </w:rPr>
        <w:t xml:space="preserve">and </w:t>
      </w:r>
      <w:r w:rsidR="00544878">
        <w:rPr>
          <w:rFonts w:ascii="Helvetica" w:hAnsi="Helvetica"/>
          <w:sz w:val="18"/>
          <w:szCs w:val="18"/>
          <w:lang w:val="en-US"/>
        </w:rPr>
        <w:t xml:space="preserve">managing </w:t>
      </w:r>
      <w:r w:rsidR="00973236">
        <w:rPr>
          <w:rFonts w:ascii="Helvetica" w:hAnsi="Helvetica"/>
          <w:sz w:val="18"/>
          <w:szCs w:val="18"/>
          <w:lang w:val="en-US"/>
        </w:rPr>
        <w:t>to limit tax-inefficient portfolio rebalancing.</w:t>
      </w:r>
    </w:p>
    <w:p w14:paraId="5AC690DF" w14:textId="341E19B1" w:rsidR="00614533" w:rsidRDefault="00614533" w:rsidP="001E2136">
      <w:pPr>
        <w:ind w:right="-75"/>
        <w:rPr>
          <w:rFonts w:ascii="Helvetica" w:hAnsi="Helvetica" w:cs="Helvetica"/>
          <w:sz w:val="18"/>
          <w:szCs w:val="18"/>
          <w:lang w:val="en-US"/>
        </w:rPr>
      </w:pPr>
      <w:proofErr w:type="spellStart"/>
      <w:r w:rsidRPr="008419ED">
        <w:rPr>
          <w:rFonts w:ascii="Helvetica" w:hAnsi="Helvetica"/>
          <w:b/>
          <w:bCs/>
          <w:sz w:val="18"/>
          <w:szCs w:val="18"/>
          <w:lang w:val="en-US"/>
        </w:rPr>
        <w:t>Utilising</w:t>
      </w:r>
      <w:proofErr w:type="spellEnd"/>
      <w:r w:rsidRPr="008419ED">
        <w:rPr>
          <w:rFonts w:ascii="Helvetica" w:hAnsi="Helvetica"/>
          <w:b/>
          <w:bCs/>
          <w:sz w:val="18"/>
          <w:szCs w:val="18"/>
          <w:lang w:val="en-US"/>
        </w:rPr>
        <w:t xml:space="preserve"> the investment bond tax structure</w:t>
      </w:r>
      <w:r>
        <w:rPr>
          <w:rFonts w:ascii="Helvetica" w:hAnsi="Helvetica"/>
          <w:sz w:val="18"/>
          <w:szCs w:val="18"/>
          <w:lang w:val="en-US"/>
        </w:rPr>
        <w:t xml:space="preserve"> </w:t>
      </w:r>
      <w:r w:rsidR="00333D42">
        <w:rPr>
          <w:rFonts w:ascii="Helvetica" w:hAnsi="Helvetica"/>
          <w:sz w:val="18"/>
          <w:szCs w:val="18"/>
          <w:lang w:val="en-US"/>
        </w:rPr>
        <w:t>–</w:t>
      </w:r>
      <w:r>
        <w:rPr>
          <w:rFonts w:ascii="Helvetica" w:hAnsi="Helvetica"/>
          <w:sz w:val="18"/>
          <w:szCs w:val="18"/>
          <w:lang w:val="en-US"/>
        </w:rPr>
        <w:t xml:space="preserve"> t</w:t>
      </w:r>
      <w:r w:rsidR="002B4239" w:rsidRPr="008419ED">
        <w:rPr>
          <w:rFonts w:ascii="Helvetica" w:hAnsi="Helvetica"/>
          <w:sz w:val="18"/>
          <w:szCs w:val="18"/>
          <w:lang w:val="en-US"/>
        </w:rPr>
        <w:t xml:space="preserve">he portfolio has been </w:t>
      </w:r>
      <w:r w:rsidR="002B4239" w:rsidRPr="008419ED">
        <w:rPr>
          <w:rFonts w:ascii="Helvetica" w:hAnsi="Helvetica" w:cs="Helvetica"/>
          <w:sz w:val="18"/>
          <w:szCs w:val="18"/>
          <w:lang w:val="en-US"/>
        </w:rPr>
        <w:t>designed to</w:t>
      </w:r>
      <w:r w:rsidR="009717EE" w:rsidRPr="008419ED">
        <w:rPr>
          <w:rFonts w:ascii="Helvetica" w:hAnsi="Helvetica" w:cs="Helvetica"/>
          <w:sz w:val="18"/>
          <w:szCs w:val="18"/>
          <w:lang w:val="en-US"/>
        </w:rPr>
        <w:t xml:space="preserve"> </w:t>
      </w:r>
      <w:r>
        <w:rPr>
          <w:rFonts w:ascii="Helvetica" w:hAnsi="Helvetica" w:cs="Helvetica"/>
          <w:sz w:val="18"/>
          <w:szCs w:val="18"/>
          <w:lang w:val="en-US"/>
        </w:rPr>
        <w:t>take advantage of the investment bond tax structure specifically to reduce the level of taxable income incurred by the portfolio, which over time is expected to provide a considerable compounded tax benefit.</w:t>
      </w:r>
    </w:p>
    <w:p w14:paraId="44BC48C3" w14:textId="01CC58AC" w:rsidR="002569B7" w:rsidRPr="008419ED" w:rsidRDefault="002569B7" w:rsidP="002569B7">
      <w:pPr>
        <w:ind w:right="-75"/>
        <w:rPr>
          <w:rFonts w:ascii="Helvetica" w:hAnsi="Helvetica"/>
          <w:sz w:val="18"/>
          <w:szCs w:val="18"/>
          <w:lang w:val="en-US"/>
        </w:rPr>
      </w:pPr>
      <w:r w:rsidRPr="008419ED">
        <w:rPr>
          <w:rFonts w:ascii="Helvetica" w:hAnsi="Helvetica"/>
          <w:b/>
          <w:bCs/>
          <w:sz w:val="18"/>
          <w:szCs w:val="18"/>
          <w:lang w:val="en-US"/>
        </w:rPr>
        <w:t>Tactical asset management</w:t>
      </w:r>
      <w:r w:rsidRPr="008419ED">
        <w:rPr>
          <w:rFonts w:ascii="Helvetica" w:hAnsi="Helvetica"/>
          <w:sz w:val="18"/>
          <w:szCs w:val="18"/>
          <w:lang w:val="en-US"/>
        </w:rPr>
        <w:t xml:space="preserve"> </w:t>
      </w:r>
      <w:r w:rsidR="00333D42">
        <w:rPr>
          <w:rFonts w:ascii="Helvetica" w:hAnsi="Helvetica"/>
          <w:sz w:val="18"/>
          <w:szCs w:val="18"/>
          <w:lang w:val="en-US"/>
        </w:rPr>
        <w:t>–</w:t>
      </w:r>
      <w:r w:rsidR="00D74F68">
        <w:rPr>
          <w:rFonts w:ascii="Helvetica" w:hAnsi="Helvetica"/>
          <w:sz w:val="18"/>
          <w:szCs w:val="18"/>
          <w:lang w:val="en-US"/>
        </w:rPr>
        <w:t xml:space="preserve"> </w:t>
      </w:r>
      <w:r w:rsidR="00987431" w:rsidRPr="008419ED">
        <w:rPr>
          <w:rFonts w:ascii="Helvetica" w:hAnsi="Helvetica"/>
          <w:sz w:val="18"/>
          <w:szCs w:val="18"/>
          <w:lang w:val="en-US"/>
        </w:rPr>
        <w:t xml:space="preserve">Fidelity has a logical and robust framework to tilt the portfolio </w:t>
      </w:r>
      <w:r w:rsidR="0073693B" w:rsidRPr="008419ED">
        <w:rPr>
          <w:rFonts w:ascii="Helvetica" w:hAnsi="Helvetica"/>
          <w:sz w:val="18"/>
          <w:szCs w:val="18"/>
          <w:lang w:val="en-US"/>
        </w:rPr>
        <w:t xml:space="preserve">based on fundamental analysis </w:t>
      </w:r>
      <w:r w:rsidR="00A7525D" w:rsidRPr="008419ED">
        <w:rPr>
          <w:rFonts w:ascii="Helvetica" w:hAnsi="Helvetica"/>
          <w:sz w:val="18"/>
          <w:szCs w:val="18"/>
          <w:lang w:val="en-US"/>
        </w:rPr>
        <w:t xml:space="preserve">on where asset and sector </w:t>
      </w:r>
      <w:r w:rsidR="00C36E51" w:rsidRPr="008419ED">
        <w:rPr>
          <w:rFonts w:ascii="Helvetica" w:hAnsi="Helvetica"/>
          <w:sz w:val="18"/>
          <w:szCs w:val="18"/>
          <w:lang w:val="en-US"/>
        </w:rPr>
        <w:t>valuations sit through a market cycle</w:t>
      </w:r>
      <w:r w:rsidR="00614533">
        <w:rPr>
          <w:rFonts w:ascii="Helvetica" w:hAnsi="Helvetica"/>
          <w:sz w:val="18"/>
          <w:szCs w:val="18"/>
          <w:lang w:val="en-US"/>
        </w:rPr>
        <w:t xml:space="preserve"> to improve return outcomes</w:t>
      </w:r>
      <w:r w:rsidR="00C36E51" w:rsidRPr="008419ED">
        <w:rPr>
          <w:rFonts w:ascii="Helvetica" w:hAnsi="Helvetica"/>
          <w:sz w:val="18"/>
          <w:szCs w:val="18"/>
          <w:lang w:val="en-US"/>
        </w:rPr>
        <w:t xml:space="preserve">. </w:t>
      </w:r>
    </w:p>
    <w:p w14:paraId="32E166F5" w14:textId="1B2EEBB1" w:rsidR="00D74F68" w:rsidRDefault="00614533" w:rsidP="002569B7">
      <w:pPr>
        <w:ind w:right="-75"/>
        <w:rPr>
          <w:rFonts w:ascii="Helvetica" w:hAnsi="Helvetica"/>
          <w:sz w:val="18"/>
          <w:szCs w:val="18"/>
          <w:lang w:val="en-US"/>
        </w:rPr>
      </w:pPr>
      <w:r w:rsidRPr="008419ED">
        <w:rPr>
          <w:rFonts w:ascii="Helvetica" w:hAnsi="Helvetica"/>
          <w:b/>
          <w:bCs/>
          <w:sz w:val="18"/>
          <w:szCs w:val="18"/>
          <w:lang w:val="en-US"/>
        </w:rPr>
        <w:t>Cost effective access</w:t>
      </w:r>
      <w:r w:rsidR="00D74F68">
        <w:rPr>
          <w:rFonts w:ascii="Helvetica" w:hAnsi="Helvetica"/>
          <w:sz w:val="18"/>
          <w:szCs w:val="18"/>
          <w:lang w:val="en-US"/>
        </w:rPr>
        <w:t xml:space="preserve"> </w:t>
      </w:r>
      <w:r w:rsidR="00333D42">
        <w:rPr>
          <w:rFonts w:ascii="Helvetica" w:hAnsi="Helvetica"/>
          <w:sz w:val="18"/>
          <w:szCs w:val="18"/>
          <w:lang w:val="en-US"/>
        </w:rPr>
        <w:t>–</w:t>
      </w:r>
      <w:r w:rsidR="00D74F68">
        <w:rPr>
          <w:rFonts w:ascii="Helvetica" w:hAnsi="Helvetica"/>
          <w:sz w:val="18"/>
          <w:szCs w:val="18"/>
          <w:lang w:val="en-US"/>
        </w:rPr>
        <w:t xml:space="preserve"> </w:t>
      </w:r>
      <w:r>
        <w:rPr>
          <w:rFonts w:ascii="Helvetica" w:hAnsi="Helvetica"/>
          <w:sz w:val="18"/>
          <w:szCs w:val="18"/>
          <w:lang w:val="en-US"/>
        </w:rPr>
        <w:t>Fidelity</w:t>
      </w:r>
      <w:r w:rsidR="00333D42">
        <w:rPr>
          <w:rFonts w:ascii="Helvetica" w:hAnsi="Helvetica"/>
          <w:sz w:val="18"/>
          <w:szCs w:val="18"/>
          <w:lang w:val="en-US"/>
        </w:rPr>
        <w:t>’</w:t>
      </w:r>
      <w:r>
        <w:rPr>
          <w:rFonts w:ascii="Helvetica" w:hAnsi="Helvetica"/>
          <w:sz w:val="18"/>
          <w:szCs w:val="18"/>
          <w:lang w:val="en-US"/>
        </w:rPr>
        <w:t xml:space="preserve">s scale, presence in markets globally and its track record provides it with </w:t>
      </w:r>
      <w:r w:rsidR="00D74F68">
        <w:rPr>
          <w:rFonts w:ascii="Helvetica" w:hAnsi="Helvetica"/>
          <w:sz w:val="18"/>
          <w:szCs w:val="18"/>
          <w:lang w:val="en-US"/>
        </w:rPr>
        <w:t xml:space="preserve">the ability </w:t>
      </w:r>
      <w:r>
        <w:rPr>
          <w:rFonts w:ascii="Helvetica" w:hAnsi="Helvetica"/>
          <w:sz w:val="18"/>
          <w:szCs w:val="18"/>
          <w:lang w:val="en-US"/>
        </w:rPr>
        <w:t xml:space="preserve">access leading investment managers </w:t>
      </w:r>
      <w:r w:rsidR="00D74F68">
        <w:rPr>
          <w:rFonts w:ascii="Helvetica" w:hAnsi="Helvetica"/>
          <w:sz w:val="18"/>
          <w:szCs w:val="18"/>
          <w:lang w:val="en-US"/>
        </w:rPr>
        <w:t>and strategies from around the world in a cost-effective manner.</w:t>
      </w:r>
    </w:p>
    <w:p w14:paraId="4254D77D" w14:textId="77777777" w:rsidR="00E27E5D" w:rsidRPr="00793596" w:rsidRDefault="00E27E5D" w:rsidP="00E27E5D">
      <w:pPr>
        <w:ind w:right="-75"/>
        <w:rPr>
          <w:rFonts w:ascii="Helvetica" w:hAnsi="Helvetica"/>
          <w:b/>
          <w:bCs/>
          <w:sz w:val="18"/>
          <w:szCs w:val="18"/>
        </w:rPr>
      </w:pPr>
      <w:r w:rsidRPr="00793596">
        <w:rPr>
          <w:rFonts w:ascii="Helvetica" w:hAnsi="Helvetica"/>
          <w:b/>
          <w:bCs/>
          <w:sz w:val="18"/>
          <w:szCs w:val="18"/>
        </w:rPr>
        <w:t>Who is it suitable for?</w:t>
      </w:r>
    </w:p>
    <w:p w14:paraId="4BDBABAE" w14:textId="0C56F7D1" w:rsidR="00E27E5D" w:rsidRPr="00793596" w:rsidRDefault="00E27E5D" w:rsidP="00E27E5D">
      <w:pPr>
        <w:ind w:right="-75"/>
        <w:rPr>
          <w:rFonts w:ascii="Helvetica" w:hAnsi="Helvetica"/>
          <w:sz w:val="18"/>
          <w:szCs w:val="18"/>
        </w:rPr>
      </w:pPr>
      <w:r w:rsidRPr="00793596">
        <w:rPr>
          <w:rFonts w:ascii="Helvetica" w:hAnsi="Helvetica"/>
          <w:sz w:val="18"/>
          <w:szCs w:val="18"/>
        </w:rPr>
        <w:t xml:space="preserve">The </w:t>
      </w:r>
      <w:r w:rsidR="00A47CEE">
        <w:rPr>
          <w:rFonts w:ascii="Helvetica" w:hAnsi="Helvetica"/>
          <w:sz w:val="18"/>
          <w:szCs w:val="18"/>
        </w:rPr>
        <w:t>f</w:t>
      </w:r>
      <w:r w:rsidR="00236FCE" w:rsidRPr="00793596">
        <w:rPr>
          <w:rFonts w:ascii="Helvetica" w:hAnsi="Helvetica"/>
          <w:sz w:val="18"/>
          <w:szCs w:val="18"/>
        </w:rPr>
        <w:t xml:space="preserve">und </w:t>
      </w:r>
      <w:r w:rsidR="00782735">
        <w:rPr>
          <w:rFonts w:ascii="Helvetica" w:hAnsi="Helvetica"/>
          <w:sz w:val="18"/>
          <w:szCs w:val="18"/>
        </w:rPr>
        <w:t xml:space="preserve">provides diversified exposure across a range of asset classes, with a focus on growth assets. The </w:t>
      </w:r>
      <w:r w:rsidR="00236FCE">
        <w:rPr>
          <w:rFonts w:ascii="Helvetica" w:hAnsi="Helvetica"/>
          <w:sz w:val="18"/>
          <w:szCs w:val="18"/>
        </w:rPr>
        <w:t xml:space="preserve">fund </w:t>
      </w:r>
      <w:r w:rsidRPr="00793596">
        <w:rPr>
          <w:rFonts w:ascii="Helvetica" w:hAnsi="Helvetica"/>
          <w:sz w:val="18"/>
          <w:szCs w:val="18"/>
        </w:rPr>
        <w:t xml:space="preserve">is suitable for investors with an investment time horizon of at least five years. The </w:t>
      </w:r>
      <w:r w:rsidR="00236FCE">
        <w:rPr>
          <w:rFonts w:ascii="Helvetica" w:hAnsi="Helvetica"/>
          <w:sz w:val="18"/>
          <w:szCs w:val="18"/>
        </w:rPr>
        <w:t>f</w:t>
      </w:r>
      <w:r w:rsidR="00236FCE" w:rsidRPr="00793596">
        <w:rPr>
          <w:rFonts w:ascii="Helvetica" w:hAnsi="Helvetica"/>
          <w:sz w:val="18"/>
          <w:szCs w:val="18"/>
        </w:rPr>
        <w:t xml:space="preserve">und </w:t>
      </w:r>
      <w:r w:rsidR="00782735">
        <w:rPr>
          <w:rFonts w:ascii="Helvetica" w:hAnsi="Helvetica"/>
          <w:sz w:val="18"/>
          <w:szCs w:val="18"/>
        </w:rPr>
        <w:t xml:space="preserve">utilises a multi-asset and multi-manager investment approach and is therefore subject to </w:t>
      </w:r>
      <w:r w:rsidRPr="00793596">
        <w:rPr>
          <w:rFonts w:ascii="Helvetica" w:hAnsi="Helvetica"/>
          <w:sz w:val="18"/>
          <w:szCs w:val="18"/>
        </w:rPr>
        <w:t>market risks and movements (both positive and negative)</w:t>
      </w:r>
      <w:r w:rsidR="00782735">
        <w:rPr>
          <w:rFonts w:ascii="Helvetica" w:hAnsi="Helvetica"/>
          <w:sz w:val="18"/>
          <w:szCs w:val="18"/>
        </w:rPr>
        <w:t xml:space="preserve"> as well as the performance of the underlying investment managers</w:t>
      </w:r>
      <w:r w:rsidRPr="00793596">
        <w:rPr>
          <w:rFonts w:ascii="Helvetica" w:hAnsi="Helvetica"/>
          <w:sz w:val="18"/>
          <w:szCs w:val="18"/>
        </w:rPr>
        <w:t xml:space="preserve">. Investors should be aware of, and comfortable with, the potential for the </w:t>
      </w:r>
      <w:r w:rsidR="00A47CEE">
        <w:rPr>
          <w:rFonts w:ascii="Helvetica" w:hAnsi="Helvetica"/>
          <w:sz w:val="18"/>
          <w:szCs w:val="18"/>
        </w:rPr>
        <w:t>f</w:t>
      </w:r>
      <w:r w:rsidRPr="00793596">
        <w:rPr>
          <w:rFonts w:ascii="Helvetica" w:hAnsi="Helvetica"/>
          <w:sz w:val="18"/>
          <w:szCs w:val="18"/>
        </w:rPr>
        <w:t>und to experience periods of negative returns.</w:t>
      </w:r>
    </w:p>
    <w:p w14:paraId="455600D0" w14:textId="77777777" w:rsidR="00E27E5D" w:rsidRPr="00793596" w:rsidRDefault="00E27E5D" w:rsidP="00E27E5D">
      <w:pPr>
        <w:ind w:right="-75"/>
        <w:rPr>
          <w:rFonts w:ascii="Helvetica" w:hAnsi="Helvetica"/>
          <w:b/>
          <w:bCs/>
          <w:sz w:val="18"/>
          <w:szCs w:val="18"/>
        </w:rPr>
      </w:pPr>
      <w:r w:rsidRPr="00793596">
        <w:rPr>
          <w:rFonts w:ascii="Helvetica" w:hAnsi="Helvetica"/>
          <w:b/>
          <w:bCs/>
          <w:sz w:val="18"/>
          <w:szCs w:val="18"/>
        </w:rPr>
        <w:t>About the manager</w:t>
      </w:r>
    </w:p>
    <w:p w14:paraId="13A6A4EF" w14:textId="21C444DA" w:rsidR="00EB6AC7" w:rsidRPr="00EB6AC7" w:rsidRDefault="00EB6AC7" w:rsidP="00EB6AC7">
      <w:pPr>
        <w:ind w:right="-75"/>
        <w:rPr>
          <w:rFonts w:ascii="Helvetica" w:hAnsi="Helvetica"/>
          <w:sz w:val="18"/>
          <w:szCs w:val="18"/>
        </w:rPr>
      </w:pPr>
      <w:r w:rsidRPr="00EB6AC7">
        <w:rPr>
          <w:rFonts w:ascii="Helvetica" w:hAnsi="Helvetica"/>
          <w:sz w:val="18"/>
          <w:szCs w:val="18"/>
        </w:rPr>
        <w:t>FIL Investment Management (Australia) Limited (‘Fidelity’) is part of</w:t>
      </w:r>
      <w:r>
        <w:rPr>
          <w:rFonts w:ascii="Helvetica" w:hAnsi="Helvetica"/>
          <w:sz w:val="18"/>
          <w:szCs w:val="18"/>
        </w:rPr>
        <w:t xml:space="preserve"> </w:t>
      </w:r>
      <w:r w:rsidRPr="00EB6AC7">
        <w:rPr>
          <w:rFonts w:ascii="Helvetica" w:hAnsi="Helvetica"/>
          <w:sz w:val="18"/>
          <w:szCs w:val="18"/>
        </w:rPr>
        <w:t>parent company Fidelity International which was founded in 1969 as</w:t>
      </w:r>
      <w:r>
        <w:rPr>
          <w:rFonts w:ascii="Helvetica" w:hAnsi="Helvetica"/>
          <w:sz w:val="18"/>
          <w:szCs w:val="18"/>
        </w:rPr>
        <w:t xml:space="preserve"> </w:t>
      </w:r>
      <w:r w:rsidRPr="00EB6AC7">
        <w:rPr>
          <w:rFonts w:ascii="Helvetica" w:hAnsi="Helvetica"/>
          <w:sz w:val="18"/>
          <w:szCs w:val="18"/>
        </w:rPr>
        <w:t>the international arm of Fidelity Investments (founded in Boston, US</w:t>
      </w:r>
      <w:r>
        <w:rPr>
          <w:rFonts w:ascii="Helvetica" w:hAnsi="Helvetica"/>
          <w:sz w:val="18"/>
          <w:szCs w:val="18"/>
        </w:rPr>
        <w:t xml:space="preserve"> </w:t>
      </w:r>
      <w:r w:rsidRPr="00EB6AC7">
        <w:rPr>
          <w:rFonts w:ascii="Helvetica" w:hAnsi="Helvetica"/>
          <w:sz w:val="18"/>
          <w:szCs w:val="18"/>
        </w:rPr>
        <w:t>in 1946). Fidelity International became independent of the US firm in</w:t>
      </w:r>
      <w:r>
        <w:rPr>
          <w:rFonts w:ascii="Helvetica" w:hAnsi="Helvetica"/>
          <w:sz w:val="18"/>
          <w:szCs w:val="18"/>
        </w:rPr>
        <w:t xml:space="preserve"> </w:t>
      </w:r>
      <w:r w:rsidRPr="00EB6AC7">
        <w:rPr>
          <w:rFonts w:ascii="Helvetica" w:hAnsi="Helvetica"/>
          <w:sz w:val="18"/>
          <w:szCs w:val="18"/>
        </w:rPr>
        <w:t xml:space="preserve">1980, and now invests AUD$1,080m (as </w:t>
      </w:r>
      <w:proofErr w:type="gramStart"/>
      <w:r w:rsidRPr="00EB6AC7">
        <w:rPr>
          <w:rFonts w:ascii="Helvetica" w:hAnsi="Helvetica"/>
          <w:sz w:val="18"/>
          <w:szCs w:val="18"/>
        </w:rPr>
        <w:t>at</w:t>
      </w:r>
      <w:proofErr w:type="gramEnd"/>
      <w:r w:rsidRPr="00EB6AC7">
        <w:rPr>
          <w:rFonts w:ascii="Helvetica" w:hAnsi="Helvetica"/>
          <w:sz w:val="18"/>
          <w:szCs w:val="18"/>
        </w:rPr>
        <w:t xml:space="preserve"> 31 March 2023) on behalf</w:t>
      </w:r>
      <w:r>
        <w:rPr>
          <w:rFonts w:ascii="Helvetica" w:hAnsi="Helvetica"/>
          <w:sz w:val="18"/>
          <w:szCs w:val="18"/>
        </w:rPr>
        <w:t xml:space="preserve"> </w:t>
      </w:r>
      <w:r w:rsidRPr="00EB6AC7">
        <w:rPr>
          <w:rFonts w:ascii="Helvetica" w:hAnsi="Helvetica"/>
          <w:sz w:val="18"/>
          <w:szCs w:val="18"/>
        </w:rPr>
        <w:t>of more than 2.8 mi</w:t>
      </w:r>
      <w:r>
        <w:rPr>
          <w:rFonts w:ascii="Helvetica" w:hAnsi="Helvetica"/>
          <w:sz w:val="18"/>
          <w:szCs w:val="18"/>
        </w:rPr>
        <w:t>l</w:t>
      </w:r>
      <w:r w:rsidRPr="00EB6AC7">
        <w:rPr>
          <w:rFonts w:ascii="Helvetica" w:hAnsi="Helvetica"/>
          <w:sz w:val="18"/>
          <w:szCs w:val="18"/>
        </w:rPr>
        <w:t>lion clients globally. Fidelity International remains</w:t>
      </w:r>
      <w:r>
        <w:rPr>
          <w:rFonts w:ascii="Helvetica" w:hAnsi="Helvetica"/>
          <w:sz w:val="18"/>
          <w:szCs w:val="18"/>
        </w:rPr>
        <w:t xml:space="preserve"> </w:t>
      </w:r>
      <w:r w:rsidRPr="00EB6AC7">
        <w:rPr>
          <w:rFonts w:ascii="Helvetica" w:hAnsi="Helvetica"/>
          <w:sz w:val="18"/>
          <w:szCs w:val="18"/>
        </w:rPr>
        <w:t>a private company – predominantly owned by management and</w:t>
      </w:r>
    </w:p>
    <w:p w14:paraId="6EBA907B" w14:textId="77777777" w:rsidR="00E27E5D"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t>RECOMMENDATION</w:t>
      </w:r>
    </w:p>
    <w:p w14:paraId="0645A171" w14:textId="4362CFF5" w:rsidR="00BE6FA9" w:rsidRPr="00793596" w:rsidRDefault="00E27E5D" w:rsidP="00E27E5D">
      <w:pPr>
        <w:ind w:right="-75"/>
        <w:rPr>
          <w:rFonts w:ascii="Helvetica" w:hAnsi="Helvetica"/>
          <w:sz w:val="18"/>
          <w:szCs w:val="18"/>
        </w:rPr>
      </w:pPr>
      <w:r w:rsidRPr="00793596">
        <w:rPr>
          <w:rFonts w:ascii="Helvetica" w:hAnsi="Helvetica"/>
          <w:sz w:val="18"/>
          <w:szCs w:val="18"/>
        </w:rPr>
        <w:t xml:space="preserve">I have recommended including the </w:t>
      </w:r>
      <w:r w:rsidR="00782735">
        <w:rPr>
          <w:rFonts w:ascii="Helvetica" w:hAnsi="Helvetica"/>
          <w:b/>
          <w:bCs/>
          <w:sz w:val="18"/>
          <w:szCs w:val="18"/>
        </w:rPr>
        <w:t xml:space="preserve">Generation Life Tax Effective Growth Fund </w:t>
      </w:r>
      <w:r w:rsidRPr="00793596">
        <w:rPr>
          <w:rFonts w:ascii="Helvetica" w:hAnsi="Helvetica"/>
          <w:sz w:val="18"/>
          <w:szCs w:val="18"/>
        </w:rPr>
        <w:t xml:space="preserve">in your investment bond portfolio which Generation Life </w:t>
      </w:r>
      <w:r w:rsidR="00782735">
        <w:rPr>
          <w:rFonts w:ascii="Helvetica" w:hAnsi="Helvetica"/>
          <w:sz w:val="18"/>
          <w:szCs w:val="18"/>
        </w:rPr>
        <w:t>has updated to provide for Fidelity</w:t>
      </w:r>
      <w:r w:rsidR="00236FCE">
        <w:rPr>
          <w:rFonts w:ascii="Helvetica" w:hAnsi="Helvetica"/>
          <w:sz w:val="18"/>
          <w:szCs w:val="18"/>
        </w:rPr>
        <w:t xml:space="preserve"> </w:t>
      </w:r>
      <w:r w:rsidR="00782735">
        <w:rPr>
          <w:rFonts w:ascii="Helvetica" w:hAnsi="Helvetica"/>
          <w:sz w:val="18"/>
          <w:szCs w:val="18"/>
        </w:rPr>
        <w:t>as the investment manager.</w:t>
      </w:r>
      <w:bookmarkEnd w:id="0"/>
    </w:p>
    <w:bookmarkEnd w:id="1"/>
    <w:p w14:paraId="210EFBDA" w14:textId="77777777" w:rsidR="00BE6FA9" w:rsidRPr="00793596" w:rsidRDefault="00BE6FA9">
      <w:pPr>
        <w:spacing w:after="0" w:line="240" w:lineRule="auto"/>
        <w:rPr>
          <w:rFonts w:ascii="Helvetica" w:hAnsi="Helvetica"/>
          <w:sz w:val="18"/>
          <w:szCs w:val="18"/>
        </w:rPr>
      </w:pPr>
      <w:r w:rsidRPr="00793596">
        <w:rPr>
          <w:rFonts w:ascii="Helvetica" w:hAnsi="Helvetica"/>
          <w:sz w:val="18"/>
          <w:szCs w:val="18"/>
        </w:rPr>
        <w:br w:type="page"/>
      </w:r>
    </w:p>
    <w:p w14:paraId="1A957E59" w14:textId="54F90AB1" w:rsidR="00BA1D9F" w:rsidRPr="00793596" w:rsidRDefault="00B538D1" w:rsidP="00782735">
      <w:pPr>
        <w:spacing w:before="120" w:after="0"/>
        <w:rPr>
          <w:rFonts w:ascii="Helvetica" w:hAnsi="Helvetica" w:cs="Arial"/>
          <w:b/>
          <w:bCs/>
          <w:sz w:val="28"/>
          <w:szCs w:val="28"/>
        </w:rPr>
      </w:pPr>
      <w:r w:rsidRPr="00793596">
        <w:rPr>
          <w:rFonts w:ascii="Helvetica" w:eastAsiaTheme="majorEastAsia" w:hAnsi="Helvetica" w:cstheme="majorBidi"/>
          <w:color w:val="5E5D5D"/>
          <w:sz w:val="32"/>
          <w:szCs w:val="32"/>
        </w:rPr>
        <w:lastRenderedPageBreak/>
        <w:br/>
      </w:r>
      <w:r w:rsidR="000761EC" w:rsidRPr="00793596">
        <w:rPr>
          <w:rFonts w:ascii="Helvetica" w:hAnsi="Helvetica" w:cs="Arial"/>
          <w:b/>
          <w:bCs/>
          <w:sz w:val="28"/>
          <w:szCs w:val="28"/>
        </w:rPr>
        <w:br/>
      </w:r>
      <w:r w:rsidR="00BA1D9F" w:rsidRPr="00793596">
        <w:rPr>
          <w:rFonts w:ascii="Helvetica" w:hAnsi="Helvetica" w:cs="Arial"/>
          <w:b/>
          <w:bCs/>
          <w:sz w:val="28"/>
          <w:szCs w:val="28"/>
        </w:rPr>
        <w:t>Important information</w:t>
      </w:r>
    </w:p>
    <w:p w14:paraId="0F2E1B80"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The product description and sample wording above have been prepared by Generation Life Limited (‘Generation Life’) ABN 68 092 843 902 AFSL 225408 as a guide only to assist you in developing your own Statement of Advice (SoA) or Record of Advice (RoA) when providing advice about Generation Life investment bond products to your clients. </w:t>
      </w:r>
    </w:p>
    <w:p w14:paraId="76E1BBB0"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This information may not be considered complete as it does not consider your clients’ personal situation, needs or objectives – it is your responsibility to consider these aspects when formulating the SoA or RoA for your clients. Before making an </w:t>
      </w:r>
      <w:proofErr w:type="gramStart"/>
      <w:r w:rsidRPr="00793596">
        <w:rPr>
          <w:rFonts w:ascii="Helvetica" w:hAnsi="Helvetica"/>
          <w:sz w:val="18"/>
          <w:szCs w:val="18"/>
        </w:rPr>
        <w:t>investment</w:t>
      </w:r>
      <w:proofErr w:type="gramEnd"/>
      <w:r w:rsidRPr="00793596">
        <w:rPr>
          <w:rFonts w:ascii="Helvetica" w:hAnsi="Helvetica"/>
          <w:sz w:val="18"/>
          <w:szCs w:val="18"/>
        </w:rPr>
        <w:t xml:space="preserve"> decision or tendering of advice based on anything in this document, you need to consider whether any general advice in this document is appropriate to the particular investment needs, objectives and financial situation of the person(s) making the investment and/or receiving the advice. </w:t>
      </w:r>
    </w:p>
    <w:p w14:paraId="4CEA4600"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This document may contain general advice in relation to financial products. Generation Life is not authorised to provide personal advice and accordingly has not considered any individual person’s financial situation, needs or objectives. Generation Life is not responsible for any personal advice you provide, even if it is based on this document. </w:t>
      </w:r>
    </w:p>
    <w:p w14:paraId="528C399A"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It is important to note that some product features may not be fully explained, some words or phrases have a specific meaning and rules may apply to the availability of certain features and options. For these reasons, this SoA or RoA should be used in conjunction with the terms and conditions set out in the Generation Life Investment Bonds Product Disclosure Statement (PDS). </w:t>
      </w:r>
    </w:p>
    <w:p w14:paraId="688AAD59"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Should you choose to use all or part of this template to fit with your </w:t>
      </w:r>
      <w:proofErr w:type="gramStart"/>
      <w:r w:rsidRPr="00793596">
        <w:rPr>
          <w:rFonts w:ascii="Helvetica" w:hAnsi="Helvetica"/>
          <w:sz w:val="18"/>
          <w:szCs w:val="18"/>
        </w:rPr>
        <w:t>particular SoA</w:t>
      </w:r>
      <w:proofErr w:type="gramEnd"/>
      <w:r w:rsidRPr="00793596">
        <w:rPr>
          <w:rFonts w:ascii="Helvetica" w:hAnsi="Helvetica"/>
          <w:sz w:val="18"/>
          <w:szCs w:val="18"/>
        </w:rPr>
        <w:t xml:space="preserve"> or RoA, this is at your discretion. The law applying to SOAs and RoAs is subject to amendment and reinterpretation at any time. This document is based on information from the PDS.</w:t>
      </w:r>
    </w:p>
    <w:p w14:paraId="2B291875"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The document contains references to financial products issued by Generation Life in its capacity as a life insurance company under the Life Insurance Act 1995 and as the issuer of the interests in Generation Life Investment Bonds. This document does not constitute an offer of interests in the Investment Bonds. Such offers will only be made in a copy of the PDS and anyone wishing to acquire interests in the Investment Bonds will need to complete the application form accompanying the PDS.</w:t>
      </w:r>
    </w:p>
    <w:p w14:paraId="629C1446"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Generation Life believes that any advice and information in this document is accurate and reliable, but no warranties of accuracy, reliability or completeness are given (except insofar as liability under any statute cannot be excluded). No responsibility for any errors or omissions or any negligence is accepted by Generation Life or any of its directors, </w:t>
      </w:r>
      <w:proofErr w:type="gramStart"/>
      <w:r w:rsidRPr="00793596">
        <w:rPr>
          <w:rFonts w:ascii="Helvetica" w:hAnsi="Helvetica"/>
          <w:sz w:val="18"/>
          <w:szCs w:val="18"/>
        </w:rPr>
        <w:t>employees</w:t>
      </w:r>
      <w:proofErr w:type="gramEnd"/>
      <w:r w:rsidRPr="00793596">
        <w:rPr>
          <w:rFonts w:ascii="Helvetica" w:hAnsi="Helvetica"/>
          <w:sz w:val="18"/>
          <w:szCs w:val="18"/>
        </w:rPr>
        <w:t xml:space="preserve"> or agents.</w:t>
      </w:r>
    </w:p>
    <w:p w14:paraId="003EBC92" w14:textId="77777777" w:rsidR="00E27E5D" w:rsidRPr="00793596" w:rsidRDefault="00E27E5D" w:rsidP="00E27E5D">
      <w:pPr>
        <w:ind w:right="-75"/>
        <w:rPr>
          <w:rFonts w:ascii="Helvetica" w:hAnsi="Helvetica"/>
          <w:sz w:val="18"/>
          <w:szCs w:val="18"/>
        </w:rPr>
      </w:pPr>
    </w:p>
    <w:p w14:paraId="59549971" w14:textId="55F2E5A6" w:rsidR="001611CE" w:rsidRPr="00793596" w:rsidRDefault="001611CE" w:rsidP="00BB1C74">
      <w:pPr>
        <w:rPr>
          <w:rFonts w:ascii="Helvetica" w:hAnsi="Helvetica"/>
          <w:sz w:val="18"/>
          <w:szCs w:val="18"/>
        </w:rPr>
      </w:pPr>
    </w:p>
    <w:p w14:paraId="6260EB24" w14:textId="3B29BC1D" w:rsidR="00BE6FA9" w:rsidRPr="00793596" w:rsidRDefault="00BE6FA9" w:rsidP="00BB1C74">
      <w:pPr>
        <w:rPr>
          <w:rFonts w:ascii="Helvetica" w:hAnsi="Helvetica"/>
          <w:sz w:val="18"/>
          <w:szCs w:val="18"/>
        </w:rPr>
      </w:pPr>
    </w:p>
    <w:p w14:paraId="4B227DED" w14:textId="0545BB54" w:rsidR="00BE6FA9" w:rsidRPr="00793596" w:rsidRDefault="00BE6FA9" w:rsidP="00BB1C74">
      <w:pPr>
        <w:rPr>
          <w:rFonts w:ascii="Helvetica" w:hAnsi="Helvetica"/>
          <w:sz w:val="18"/>
          <w:szCs w:val="18"/>
        </w:rPr>
      </w:pPr>
    </w:p>
    <w:p w14:paraId="5F302AE7" w14:textId="55EAD242" w:rsidR="00BE6FA9" w:rsidRPr="00793596" w:rsidRDefault="00BE6FA9" w:rsidP="00BB1C74">
      <w:pPr>
        <w:rPr>
          <w:rFonts w:ascii="Helvetica" w:hAnsi="Helvetica"/>
          <w:sz w:val="18"/>
          <w:szCs w:val="18"/>
        </w:rPr>
      </w:pPr>
    </w:p>
    <w:p w14:paraId="2C910EDC" w14:textId="53F3E271" w:rsidR="00BE6FA9" w:rsidRPr="00793596" w:rsidRDefault="00BE6FA9" w:rsidP="00BB1C74">
      <w:pPr>
        <w:rPr>
          <w:rFonts w:ascii="Helvetica" w:hAnsi="Helvetica"/>
          <w:sz w:val="18"/>
          <w:szCs w:val="18"/>
        </w:rPr>
      </w:pPr>
    </w:p>
    <w:p w14:paraId="08B6B406" w14:textId="346CE8C6" w:rsidR="003D61F5" w:rsidRPr="00793596" w:rsidRDefault="003D61F5" w:rsidP="00BB1C74">
      <w:pPr>
        <w:rPr>
          <w:rFonts w:ascii="Helvetica" w:hAnsi="Helvetica"/>
          <w:sz w:val="18"/>
          <w:szCs w:val="18"/>
        </w:rPr>
      </w:pPr>
    </w:p>
    <w:p w14:paraId="28BCB76E" w14:textId="77777777" w:rsidR="003D61F5" w:rsidRPr="00793596" w:rsidRDefault="003D61F5" w:rsidP="00BB1C74">
      <w:pPr>
        <w:rPr>
          <w:rFonts w:ascii="Helvetica" w:hAnsi="Helvetica"/>
          <w:sz w:val="18"/>
          <w:szCs w:val="18"/>
        </w:rPr>
      </w:pPr>
    </w:p>
    <w:p w14:paraId="4FEAB810" w14:textId="77777777" w:rsidR="00BE6FA9" w:rsidRDefault="00BE6FA9" w:rsidP="00BB1C74">
      <w:pPr>
        <w:rPr>
          <w:rFonts w:ascii="Helvetica" w:hAnsi="Helvetica"/>
          <w:sz w:val="18"/>
          <w:szCs w:val="18"/>
        </w:rPr>
      </w:pPr>
    </w:p>
    <w:p w14:paraId="0FA0363D" w14:textId="77777777" w:rsidR="0060610C" w:rsidRPr="00793596" w:rsidRDefault="0060610C" w:rsidP="00BB1C74">
      <w:pPr>
        <w:rPr>
          <w:rFonts w:ascii="Helvetica" w:hAnsi="Helvetica"/>
          <w:sz w:val="18"/>
          <w:szCs w:val="18"/>
        </w:rPr>
      </w:pPr>
    </w:p>
    <w:tbl>
      <w:tblPr>
        <w:tblStyle w:val="TableGrid"/>
        <w:tblpPr w:leftFromText="180" w:rightFromText="180" w:vertAnchor="text" w:horzAnchor="margin" w:tblpY="195"/>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696"/>
        <w:gridCol w:w="3261"/>
        <w:gridCol w:w="1701"/>
        <w:gridCol w:w="3543"/>
      </w:tblGrid>
      <w:tr w:rsidR="00E96EC1" w:rsidRPr="00793596" w14:paraId="486C2B0A" w14:textId="77777777" w:rsidTr="00E96EC1">
        <w:tc>
          <w:tcPr>
            <w:tcW w:w="1696" w:type="dxa"/>
            <w:tcBorders>
              <w:top w:val="single" w:sz="2" w:space="0" w:color="A3A3A3"/>
            </w:tcBorders>
          </w:tcPr>
          <w:p w14:paraId="4EBE72CA" w14:textId="0E69F76C" w:rsidR="00E96EC1" w:rsidRPr="00793596" w:rsidRDefault="00BB4208" w:rsidP="00E96EC1">
            <w:pPr>
              <w:pStyle w:val="TableHeading"/>
              <w:rPr>
                <w:rFonts w:ascii="Helvetica" w:hAnsi="Helvetica"/>
                <w:sz w:val="18"/>
                <w:szCs w:val="18"/>
              </w:rPr>
            </w:pPr>
            <w:r w:rsidRPr="00793596">
              <w:rPr>
                <w:rFonts w:ascii="Helvetica" w:hAnsi="Helvetica"/>
                <w:sz w:val="18"/>
                <w:szCs w:val="18"/>
              </w:rPr>
              <w:t>Contact us</w:t>
            </w:r>
          </w:p>
        </w:tc>
        <w:tc>
          <w:tcPr>
            <w:tcW w:w="3261" w:type="dxa"/>
            <w:tcBorders>
              <w:top w:val="single" w:sz="2" w:space="0" w:color="A3A3A3"/>
            </w:tcBorders>
          </w:tcPr>
          <w:p w14:paraId="7B469E80" w14:textId="77777777" w:rsidR="00E96EC1" w:rsidRPr="00793596" w:rsidRDefault="00E96EC1" w:rsidP="00E96EC1">
            <w:pPr>
              <w:pStyle w:val="TableHeading"/>
              <w:rPr>
                <w:rFonts w:ascii="Helvetica" w:hAnsi="Helvetica"/>
                <w:sz w:val="18"/>
                <w:szCs w:val="18"/>
              </w:rPr>
            </w:pPr>
          </w:p>
        </w:tc>
        <w:tc>
          <w:tcPr>
            <w:tcW w:w="1701" w:type="dxa"/>
            <w:tcBorders>
              <w:top w:val="single" w:sz="2" w:space="0" w:color="A3A3A3"/>
            </w:tcBorders>
          </w:tcPr>
          <w:p w14:paraId="5F3B7CA6" w14:textId="52815400" w:rsidR="00E96EC1" w:rsidRPr="00793596" w:rsidRDefault="00E96EC1" w:rsidP="00E96EC1">
            <w:pPr>
              <w:pStyle w:val="TableHeading"/>
              <w:rPr>
                <w:rFonts w:ascii="Helvetica" w:hAnsi="Helvetica"/>
                <w:sz w:val="18"/>
                <w:szCs w:val="18"/>
              </w:rPr>
            </w:pPr>
          </w:p>
        </w:tc>
        <w:tc>
          <w:tcPr>
            <w:tcW w:w="3543" w:type="dxa"/>
            <w:tcBorders>
              <w:top w:val="single" w:sz="2" w:space="0" w:color="A3A3A3"/>
            </w:tcBorders>
          </w:tcPr>
          <w:p w14:paraId="0829D8BB" w14:textId="77777777" w:rsidR="00E96EC1" w:rsidRPr="00793596" w:rsidRDefault="00E96EC1" w:rsidP="00E96EC1">
            <w:pPr>
              <w:pStyle w:val="TableHeading"/>
              <w:rPr>
                <w:rFonts w:ascii="Helvetica" w:hAnsi="Helvetica"/>
                <w:sz w:val="18"/>
                <w:szCs w:val="18"/>
              </w:rPr>
            </w:pPr>
          </w:p>
        </w:tc>
      </w:tr>
      <w:tr w:rsidR="00E96EC1" w:rsidRPr="00793596" w14:paraId="1238982B" w14:textId="77777777" w:rsidTr="00E96EC1">
        <w:tc>
          <w:tcPr>
            <w:tcW w:w="1696" w:type="dxa"/>
          </w:tcPr>
          <w:p w14:paraId="3ED9411A" w14:textId="77777777" w:rsidR="00E96EC1" w:rsidRPr="00793596" w:rsidRDefault="00E96EC1" w:rsidP="00E96EC1">
            <w:pPr>
              <w:pStyle w:val="TableHeading2"/>
              <w:rPr>
                <w:rFonts w:ascii="Helvetica" w:hAnsi="Helvetica"/>
                <w:sz w:val="18"/>
                <w:szCs w:val="18"/>
              </w:rPr>
            </w:pPr>
            <w:r w:rsidRPr="00793596">
              <w:rPr>
                <w:rFonts w:ascii="Helvetica" w:hAnsi="Helvetica"/>
                <w:sz w:val="18"/>
                <w:szCs w:val="18"/>
              </w:rPr>
              <w:t xml:space="preserve">Phone </w:t>
            </w:r>
          </w:p>
          <w:p w14:paraId="78BC05CE" w14:textId="2FA354A5" w:rsidR="00BB4208" w:rsidRPr="00793596" w:rsidRDefault="00BB4208" w:rsidP="00E96EC1">
            <w:pPr>
              <w:pStyle w:val="TableHeading2"/>
              <w:rPr>
                <w:rFonts w:ascii="Helvetica" w:hAnsi="Helvetica"/>
                <w:sz w:val="18"/>
                <w:szCs w:val="18"/>
              </w:rPr>
            </w:pPr>
            <w:r w:rsidRPr="00793596">
              <w:rPr>
                <w:rFonts w:ascii="Helvetica" w:hAnsi="Helvetica"/>
                <w:sz w:val="18"/>
                <w:szCs w:val="18"/>
              </w:rPr>
              <w:t>Email</w:t>
            </w:r>
          </w:p>
        </w:tc>
        <w:tc>
          <w:tcPr>
            <w:tcW w:w="3261" w:type="dxa"/>
          </w:tcPr>
          <w:p w14:paraId="28CC40A8" w14:textId="7C647F25" w:rsidR="00E96EC1" w:rsidRPr="00793596" w:rsidRDefault="00E96EC1" w:rsidP="00E96EC1">
            <w:pPr>
              <w:pStyle w:val="Table"/>
              <w:rPr>
                <w:rFonts w:ascii="Helvetica" w:hAnsi="Helvetica"/>
                <w:sz w:val="18"/>
                <w:szCs w:val="18"/>
              </w:rPr>
            </w:pPr>
            <w:r w:rsidRPr="00793596">
              <w:rPr>
                <w:rFonts w:ascii="Helvetica" w:hAnsi="Helvetica"/>
                <w:sz w:val="18"/>
                <w:szCs w:val="18"/>
              </w:rPr>
              <w:t xml:space="preserve">1800 </w:t>
            </w:r>
            <w:r w:rsidR="0071349C" w:rsidRPr="0071349C">
              <w:rPr>
                <w:rFonts w:ascii="Helvetica" w:hAnsi="Helvetica"/>
                <w:sz w:val="18"/>
                <w:szCs w:val="18"/>
              </w:rPr>
              <w:t>333 657</w:t>
            </w:r>
          </w:p>
          <w:p w14:paraId="6037B49B" w14:textId="5BEE7803" w:rsidR="00BB4208" w:rsidRPr="00793596" w:rsidRDefault="00BB4208" w:rsidP="00BB4208">
            <w:pPr>
              <w:rPr>
                <w:rFonts w:ascii="Helvetica" w:hAnsi="Helvetica"/>
                <w:sz w:val="18"/>
                <w:szCs w:val="18"/>
              </w:rPr>
            </w:pPr>
            <w:r w:rsidRPr="00793596">
              <w:rPr>
                <w:rFonts w:ascii="Helvetica" w:hAnsi="Helvetica"/>
                <w:sz w:val="18"/>
                <w:szCs w:val="18"/>
              </w:rPr>
              <w:t>enquiry@genlife.com.au</w:t>
            </w:r>
          </w:p>
        </w:tc>
        <w:tc>
          <w:tcPr>
            <w:tcW w:w="1701" w:type="dxa"/>
          </w:tcPr>
          <w:p w14:paraId="5418996A" w14:textId="2F369687" w:rsidR="00E96EC1" w:rsidRPr="00793596" w:rsidRDefault="00BB4208" w:rsidP="00E96EC1">
            <w:pPr>
              <w:pStyle w:val="TableHeading2"/>
              <w:rPr>
                <w:rFonts w:ascii="Helvetica" w:hAnsi="Helvetica"/>
                <w:sz w:val="18"/>
                <w:szCs w:val="18"/>
              </w:rPr>
            </w:pPr>
            <w:r w:rsidRPr="00793596">
              <w:rPr>
                <w:rFonts w:ascii="Helvetica" w:hAnsi="Helvetica"/>
                <w:sz w:val="18"/>
                <w:szCs w:val="18"/>
              </w:rPr>
              <w:t xml:space="preserve">Postal </w:t>
            </w:r>
            <w:r w:rsidR="00E96EC1" w:rsidRPr="00793596">
              <w:rPr>
                <w:rFonts w:ascii="Helvetica" w:hAnsi="Helvetica"/>
                <w:sz w:val="18"/>
                <w:szCs w:val="18"/>
              </w:rPr>
              <w:t xml:space="preserve">Address </w:t>
            </w:r>
          </w:p>
        </w:tc>
        <w:tc>
          <w:tcPr>
            <w:tcW w:w="3543" w:type="dxa"/>
          </w:tcPr>
          <w:p w14:paraId="5FB9CCBE" w14:textId="2B7F6760" w:rsidR="00782735" w:rsidRDefault="003C34A4" w:rsidP="00E96EC1">
            <w:pPr>
              <w:pStyle w:val="Table"/>
              <w:rPr>
                <w:rFonts w:ascii="Helvetica" w:hAnsi="Helvetica"/>
                <w:sz w:val="18"/>
                <w:szCs w:val="18"/>
              </w:rPr>
            </w:pPr>
            <w:r>
              <w:rPr>
                <w:rFonts w:ascii="Helvetica" w:hAnsi="Helvetica"/>
                <w:sz w:val="18"/>
                <w:szCs w:val="18"/>
              </w:rPr>
              <w:t>G</w:t>
            </w:r>
            <w:r w:rsidR="00BB4208" w:rsidRPr="00793596">
              <w:rPr>
                <w:rFonts w:ascii="Helvetica" w:hAnsi="Helvetica"/>
                <w:sz w:val="18"/>
                <w:szCs w:val="18"/>
              </w:rPr>
              <w:t>PO Box 263</w:t>
            </w:r>
          </w:p>
          <w:p w14:paraId="667EE9CC" w14:textId="75F07EAB" w:rsidR="00BB4208" w:rsidRPr="00793596" w:rsidRDefault="00BB4208" w:rsidP="00E96EC1">
            <w:pPr>
              <w:pStyle w:val="Table"/>
              <w:rPr>
                <w:rFonts w:ascii="Helvetica" w:hAnsi="Helvetica"/>
                <w:sz w:val="18"/>
                <w:szCs w:val="18"/>
              </w:rPr>
            </w:pPr>
            <w:r w:rsidRPr="00793596">
              <w:rPr>
                <w:rFonts w:ascii="Helvetica" w:hAnsi="Helvetica"/>
                <w:sz w:val="18"/>
                <w:szCs w:val="18"/>
              </w:rPr>
              <w:t xml:space="preserve">Collins Street West </w:t>
            </w:r>
          </w:p>
          <w:p w14:paraId="4EC2620E" w14:textId="2DDC27BA" w:rsidR="00E96EC1" w:rsidRPr="00793596" w:rsidRDefault="00BB4208" w:rsidP="00E96EC1">
            <w:pPr>
              <w:pStyle w:val="Table"/>
              <w:rPr>
                <w:rFonts w:ascii="Helvetica" w:hAnsi="Helvetica"/>
                <w:sz w:val="18"/>
                <w:szCs w:val="18"/>
              </w:rPr>
            </w:pPr>
            <w:r w:rsidRPr="00793596">
              <w:rPr>
                <w:rFonts w:ascii="Helvetica" w:hAnsi="Helvetica"/>
                <w:sz w:val="18"/>
                <w:szCs w:val="18"/>
              </w:rPr>
              <w:t>Melbourne VIC 8007</w:t>
            </w:r>
          </w:p>
        </w:tc>
      </w:tr>
    </w:tbl>
    <w:p w14:paraId="12459F23" w14:textId="77777777" w:rsidR="00BB4208" w:rsidRPr="00793596" w:rsidRDefault="00BB4208" w:rsidP="0060610C">
      <w:pPr>
        <w:rPr>
          <w:rFonts w:ascii="Helvetica" w:hAnsi="Helvetica"/>
          <w:color w:val="2B41B1"/>
          <w:sz w:val="18"/>
          <w:szCs w:val="18"/>
        </w:rPr>
      </w:pPr>
    </w:p>
    <w:sectPr w:rsidR="00BB4208" w:rsidRPr="00793596" w:rsidSect="001611CE">
      <w:footerReference w:type="even" r:id="rId13"/>
      <w:footerReference w:type="default" r:id="rId14"/>
      <w:type w:val="continuous"/>
      <w:pgSz w:w="11900" w:h="16840"/>
      <w:pgMar w:top="851" w:right="851" w:bottom="567" w:left="851" w:header="709"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ADC2" w14:textId="77777777" w:rsidR="007C5F27" w:rsidRDefault="007C5F27" w:rsidP="00C4539E">
      <w:pPr>
        <w:spacing w:after="0" w:line="240" w:lineRule="auto"/>
      </w:pPr>
      <w:r>
        <w:separator/>
      </w:r>
    </w:p>
  </w:endnote>
  <w:endnote w:type="continuationSeparator" w:id="0">
    <w:p w14:paraId="0FC5FF6F" w14:textId="77777777" w:rsidR="007C5F27" w:rsidRDefault="007C5F27" w:rsidP="00C4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2" w:usb3="00000000" w:csb0="0000009F" w:csb1="00000000"/>
  </w:font>
  <w:font w:name="Helvetica Neue Medium">
    <w:altName w:val="Arial"/>
    <w:charset w:val="4D"/>
    <w:family w:val="swiss"/>
    <w:pitch w:val="variable"/>
    <w:sig w:usb0="A00002FF" w:usb1="5000205B" w:usb2="00000002" w:usb3="00000000" w:csb0="0000009B"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Arial"/>
    <w:charset w:val="00"/>
    <w:family w:val="roman"/>
    <w:pitch w:val="variable"/>
  </w:font>
  <w:font w:name="UQKHPT+HelveticaNeue">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6174661"/>
      <w:docPartObj>
        <w:docPartGallery w:val="Page Numbers (Bottom of Page)"/>
        <w:docPartUnique/>
      </w:docPartObj>
    </w:sdtPr>
    <w:sdtEndPr>
      <w:rPr>
        <w:rStyle w:val="PageNumber"/>
      </w:rPr>
    </w:sdtEndPr>
    <w:sdtContent>
      <w:p w14:paraId="770D4929" w14:textId="77777777" w:rsidR="00BE6FA9" w:rsidRDefault="00BE6FA9" w:rsidP="00E06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C9531" w14:textId="77777777" w:rsidR="00BE6FA9" w:rsidRDefault="00BE6FA9" w:rsidP="004E31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803" w14:textId="77777777" w:rsidR="00BE6FA9" w:rsidRPr="004E3152" w:rsidRDefault="00BE6FA9" w:rsidP="004E3152">
    <w:pPr>
      <w:pStyle w:val="Footer"/>
      <w:ind w:right="360"/>
      <w:rPr>
        <w:rFonts w:ascii="Helvetica Neue Medium" w:hAnsi="Helvetica Neue Medium"/>
        <w:color w:val="2B41B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13A0" w14:textId="77777777" w:rsidR="007C5F27" w:rsidRDefault="007C5F27" w:rsidP="00C4539E">
      <w:pPr>
        <w:spacing w:after="0" w:line="240" w:lineRule="auto"/>
      </w:pPr>
      <w:r>
        <w:separator/>
      </w:r>
    </w:p>
  </w:footnote>
  <w:footnote w:type="continuationSeparator" w:id="0">
    <w:p w14:paraId="1E1AC282" w14:textId="77777777" w:rsidR="007C5F27" w:rsidRDefault="007C5F27" w:rsidP="00C4539E">
      <w:pPr>
        <w:spacing w:after="0" w:line="240" w:lineRule="auto"/>
      </w:pPr>
      <w:r>
        <w:continuationSeparator/>
      </w:r>
    </w:p>
  </w:footnote>
  <w:footnote w:id="1">
    <w:p w14:paraId="55F1866B" w14:textId="3DFBA84A" w:rsidR="00233307" w:rsidRPr="00233307" w:rsidRDefault="00233307">
      <w:pPr>
        <w:pStyle w:val="FootnoteText"/>
        <w:rPr>
          <w:rFonts w:cs="Helvetica Neue"/>
          <w:color w:val="000000"/>
          <w:sz w:val="14"/>
          <w:szCs w:val="14"/>
        </w:rPr>
      </w:pPr>
      <w:r>
        <w:rPr>
          <w:rStyle w:val="FootnoteReference"/>
        </w:rPr>
        <w:footnoteRef/>
      </w:r>
      <w:r>
        <w:t xml:space="preserve"> </w:t>
      </w:r>
      <w:r w:rsidRPr="00233307">
        <w:rPr>
          <w:rFonts w:cs="Helvetica Neue"/>
          <w:color w:val="000000"/>
          <w:sz w:val="14"/>
          <w:szCs w:val="14"/>
        </w:rPr>
        <w:t>The Generation Life Tax Effective Growth Fund allocation represents the indicative initial asset allocation expected on commencement.</w:t>
      </w:r>
    </w:p>
  </w:footnote>
  <w:footnote w:id="2">
    <w:p w14:paraId="7C1DC02F" w14:textId="757B6A95" w:rsidR="00345F1E" w:rsidRPr="00345F1E" w:rsidRDefault="00345F1E">
      <w:pPr>
        <w:pStyle w:val="FootnoteText"/>
        <w:rPr>
          <w:rFonts w:cs="Helvetica Neue"/>
          <w:color w:val="000000"/>
          <w:sz w:val="14"/>
          <w:szCs w:val="14"/>
        </w:rPr>
      </w:pPr>
      <w:r>
        <w:rPr>
          <w:rStyle w:val="FootnoteReference"/>
        </w:rPr>
        <w:footnoteRef/>
      </w:r>
      <w:r>
        <w:t xml:space="preserve"> </w:t>
      </w:r>
      <w:r w:rsidRPr="00345F1E">
        <w:rPr>
          <w:rFonts w:cs="Helvetica Neue"/>
          <w:color w:val="000000"/>
          <w:sz w:val="14"/>
          <w:szCs w:val="14"/>
        </w:rPr>
        <w:t>The risk level has been provided by the investment manager and is based on the Standard Risk Measure which allows investors to compare investment options.</w:t>
      </w:r>
    </w:p>
  </w:footnote>
  <w:footnote w:id="3">
    <w:p w14:paraId="422305FC" w14:textId="50F20D4F" w:rsidR="00F459CE" w:rsidRDefault="00F459CE" w:rsidP="008419ED">
      <w:pPr>
        <w:pStyle w:val="Default"/>
      </w:pPr>
      <w:r w:rsidRPr="008419ED">
        <w:rPr>
          <w:rStyle w:val="FootnoteReference"/>
          <w:sz w:val="20"/>
          <w:szCs w:val="20"/>
        </w:rPr>
        <w:footnoteRef/>
      </w:r>
      <w:r w:rsidRPr="008419ED">
        <w:rPr>
          <w:sz w:val="20"/>
          <w:szCs w:val="20"/>
        </w:rPr>
        <w:t xml:space="preserve"> </w:t>
      </w:r>
      <w:bookmarkStart w:id="4" w:name="_Hlk138403563"/>
      <w:r>
        <w:rPr>
          <w:sz w:val="14"/>
          <w:szCs w:val="14"/>
        </w:rPr>
        <w:t xml:space="preserve">Investment management costs include investment manager’s fees, estimated investment expense recoveries and other indirect costs as a percentage of the total average assets of the investment option based on the latest information </w:t>
      </w:r>
      <w:proofErr w:type="gramStart"/>
      <w:r>
        <w:rPr>
          <w:sz w:val="14"/>
          <w:szCs w:val="14"/>
        </w:rPr>
        <w:t>available, but</w:t>
      </w:r>
      <w:proofErr w:type="gramEnd"/>
      <w:r>
        <w:rPr>
          <w:sz w:val="14"/>
          <w:szCs w:val="14"/>
        </w:rPr>
        <w:t xml:space="preserve"> excludes investment performance fee costs that may be charged or incurred by the investment manager and exclude indirect transaction and operational costs (refer to the Product Disclosure Statement for further information about fees and costs). </w:t>
      </w:r>
      <w:bookmarkEnd w:id="4"/>
    </w:p>
  </w:footnote>
  <w:footnote w:id="4">
    <w:p w14:paraId="54AE78EA" w14:textId="4EFDA394" w:rsidR="00345F1E" w:rsidRPr="00345F1E" w:rsidRDefault="00345F1E">
      <w:pPr>
        <w:pStyle w:val="FootnoteText"/>
        <w:rPr>
          <w:rFonts w:cs="Helvetica Neue"/>
          <w:color w:val="000000"/>
          <w:sz w:val="14"/>
          <w:szCs w:val="14"/>
        </w:rPr>
      </w:pPr>
      <w:r>
        <w:rPr>
          <w:rStyle w:val="FootnoteReference"/>
        </w:rPr>
        <w:footnoteRef/>
      </w:r>
      <w:r>
        <w:t xml:space="preserve"> </w:t>
      </w:r>
      <w:r w:rsidRPr="00345F1E">
        <w:rPr>
          <w:rFonts w:cs="Helvetica Neue"/>
          <w:color w:val="000000"/>
          <w:sz w:val="14"/>
          <w:szCs w:val="14"/>
        </w:rPr>
        <w:t xml:space="preserve">Estimate of transactional and operational costs incurred by the investment option </w:t>
      </w:r>
      <w:r w:rsidR="00EB6AC7">
        <w:rPr>
          <w:rFonts w:cs="Helvetica Neue"/>
          <w:color w:val="000000"/>
          <w:sz w:val="14"/>
          <w:szCs w:val="14"/>
        </w:rPr>
        <w:t>are based on the latest available information</w:t>
      </w:r>
      <w:r w:rsidRPr="00345F1E">
        <w:rPr>
          <w:rFonts w:cs="Helvetica Neue"/>
          <w:color w:val="000000"/>
          <w:sz w:val="14"/>
          <w:szCs w:val="14"/>
        </w:rPr>
        <w:t>. These are current estimates that may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F7CC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410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D"/>
    <w:rsid w:val="0001464E"/>
    <w:rsid w:val="00017ED5"/>
    <w:rsid w:val="000207BE"/>
    <w:rsid w:val="0004423B"/>
    <w:rsid w:val="00070922"/>
    <w:rsid w:val="000726DD"/>
    <w:rsid w:val="000761EC"/>
    <w:rsid w:val="000944DC"/>
    <w:rsid w:val="000C0BA3"/>
    <w:rsid w:val="000D780C"/>
    <w:rsid w:val="0010427C"/>
    <w:rsid w:val="001611CE"/>
    <w:rsid w:val="001737C8"/>
    <w:rsid w:val="001863B5"/>
    <w:rsid w:val="00196B93"/>
    <w:rsid w:val="001A09DF"/>
    <w:rsid w:val="001B1040"/>
    <w:rsid w:val="001D4EEB"/>
    <w:rsid w:val="001E2136"/>
    <w:rsid w:val="001E42FE"/>
    <w:rsid w:val="001F40B4"/>
    <w:rsid w:val="00227735"/>
    <w:rsid w:val="00233307"/>
    <w:rsid w:val="00236FCE"/>
    <w:rsid w:val="00244A82"/>
    <w:rsid w:val="002569B7"/>
    <w:rsid w:val="00273D6F"/>
    <w:rsid w:val="00276A8D"/>
    <w:rsid w:val="002B4239"/>
    <w:rsid w:val="002E0A2F"/>
    <w:rsid w:val="002E5240"/>
    <w:rsid w:val="00321EFD"/>
    <w:rsid w:val="00324BE0"/>
    <w:rsid w:val="0033182A"/>
    <w:rsid w:val="00333D42"/>
    <w:rsid w:val="00345F1E"/>
    <w:rsid w:val="00371FD3"/>
    <w:rsid w:val="00374AAD"/>
    <w:rsid w:val="003911C4"/>
    <w:rsid w:val="003A00AF"/>
    <w:rsid w:val="003C34A4"/>
    <w:rsid w:val="003D61F5"/>
    <w:rsid w:val="003E150A"/>
    <w:rsid w:val="0040268C"/>
    <w:rsid w:val="00406B5D"/>
    <w:rsid w:val="004349BF"/>
    <w:rsid w:val="00441A03"/>
    <w:rsid w:val="0044751F"/>
    <w:rsid w:val="00470468"/>
    <w:rsid w:val="0047712A"/>
    <w:rsid w:val="004A439D"/>
    <w:rsid w:val="004B3E48"/>
    <w:rsid w:val="004C5E20"/>
    <w:rsid w:val="004E3152"/>
    <w:rsid w:val="004F662F"/>
    <w:rsid w:val="004F7076"/>
    <w:rsid w:val="00503FCB"/>
    <w:rsid w:val="00535365"/>
    <w:rsid w:val="00544878"/>
    <w:rsid w:val="00572648"/>
    <w:rsid w:val="0057676D"/>
    <w:rsid w:val="005A166B"/>
    <w:rsid w:val="005D1BC8"/>
    <w:rsid w:val="005E23AA"/>
    <w:rsid w:val="005E4A41"/>
    <w:rsid w:val="005F2FDB"/>
    <w:rsid w:val="0060610C"/>
    <w:rsid w:val="00614533"/>
    <w:rsid w:val="006204F6"/>
    <w:rsid w:val="00672709"/>
    <w:rsid w:val="00693B63"/>
    <w:rsid w:val="006A328E"/>
    <w:rsid w:val="006C28C4"/>
    <w:rsid w:val="006F32EF"/>
    <w:rsid w:val="0071349C"/>
    <w:rsid w:val="0071435C"/>
    <w:rsid w:val="0073693B"/>
    <w:rsid w:val="00746C19"/>
    <w:rsid w:val="00767E7F"/>
    <w:rsid w:val="00782735"/>
    <w:rsid w:val="00793596"/>
    <w:rsid w:val="007C55DC"/>
    <w:rsid w:val="007C5F27"/>
    <w:rsid w:val="007D619A"/>
    <w:rsid w:val="007E0A9C"/>
    <w:rsid w:val="007F54E5"/>
    <w:rsid w:val="007F63AB"/>
    <w:rsid w:val="008109F4"/>
    <w:rsid w:val="00815C81"/>
    <w:rsid w:val="008226CF"/>
    <w:rsid w:val="00833472"/>
    <w:rsid w:val="008419ED"/>
    <w:rsid w:val="008D7D1A"/>
    <w:rsid w:val="008F054C"/>
    <w:rsid w:val="009015A8"/>
    <w:rsid w:val="00903FF5"/>
    <w:rsid w:val="00913EF2"/>
    <w:rsid w:val="00935130"/>
    <w:rsid w:val="009479DE"/>
    <w:rsid w:val="00965BEB"/>
    <w:rsid w:val="009717EE"/>
    <w:rsid w:val="00973236"/>
    <w:rsid w:val="00981D36"/>
    <w:rsid w:val="00987431"/>
    <w:rsid w:val="0099678D"/>
    <w:rsid w:val="00A47CEE"/>
    <w:rsid w:val="00A61280"/>
    <w:rsid w:val="00A654A9"/>
    <w:rsid w:val="00A7525D"/>
    <w:rsid w:val="00A96DFD"/>
    <w:rsid w:val="00AC58B0"/>
    <w:rsid w:val="00AE7F68"/>
    <w:rsid w:val="00B24328"/>
    <w:rsid w:val="00B266BC"/>
    <w:rsid w:val="00B47E3C"/>
    <w:rsid w:val="00B538D1"/>
    <w:rsid w:val="00B61ED8"/>
    <w:rsid w:val="00B623F0"/>
    <w:rsid w:val="00B86474"/>
    <w:rsid w:val="00BA1D9F"/>
    <w:rsid w:val="00BB1C74"/>
    <w:rsid w:val="00BB4208"/>
    <w:rsid w:val="00BB53FF"/>
    <w:rsid w:val="00BD1918"/>
    <w:rsid w:val="00BD1D83"/>
    <w:rsid w:val="00BE373C"/>
    <w:rsid w:val="00BE6FA9"/>
    <w:rsid w:val="00BF772F"/>
    <w:rsid w:val="00C36E51"/>
    <w:rsid w:val="00C41F3D"/>
    <w:rsid w:val="00C4539E"/>
    <w:rsid w:val="00C91294"/>
    <w:rsid w:val="00CA2956"/>
    <w:rsid w:val="00CC7828"/>
    <w:rsid w:val="00CD717A"/>
    <w:rsid w:val="00CE0924"/>
    <w:rsid w:val="00CE2217"/>
    <w:rsid w:val="00CF0A27"/>
    <w:rsid w:val="00D10ABF"/>
    <w:rsid w:val="00D32569"/>
    <w:rsid w:val="00D41F52"/>
    <w:rsid w:val="00D74F68"/>
    <w:rsid w:val="00DC1FDC"/>
    <w:rsid w:val="00DC3F45"/>
    <w:rsid w:val="00DC622E"/>
    <w:rsid w:val="00DF102C"/>
    <w:rsid w:val="00E152EC"/>
    <w:rsid w:val="00E27E5D"/>
    <w:rsid w:val="00E35FB0"/>
    <w:rsid w:val="00E62EED"/>
    <w:rsid w:val="00E63E48"/>
    <w:rsid w:val="00E64CA4"/>
    <w:rsid w:val="00E96EC1"/>
    <w:rsid w:val="00EB6AC7"/>
    <w:rsid w:val="00EC3C6C"/>
    <w:rsid w:val="00EC601D"/>
    <w:rsid w:val="00EE05D8"/>
    <w:rsid w:val="00F16DC4"/>
    <w:rsid w:val="00F3329B"/>
    <w:rsid w:val="00F43B06"/>
    <w:rsid w:val="00F459CE"/>
    <w:rsid w:val="00F50EE4"/>
    <w:rsid w:val="00F52A21"/>
    <w:rsid w:val="00F74BF3"/>
    <w:rsid w:val="00F77E99"/>
    <w:rsid w:val="00F84699"/>
    <w:rsid w:val="00FC2BC8"/>
    <w:rsid w:val="00FE1F6C"/>
    <w:rsid w:val="00FE349C"/>
    <w:rsid w:val="00FE6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AD3"/>
  <w15:docId w15:val="{6292256A-9A3D-FD47-8F62-8B0C36C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C8"/>
    <w:pPr>
      <w:spacing w:after="240" w:line="264" w:lineRule="auto"/>
    </w:pPr>
    <w:rPr>
      <w:rFonts w:ascii="Helvetica Neue" w:hAnsi="Helvetica Neue"/>
      <w:color w:val="252729"/>
      <w:sz w:val="16"/>
    </w:rPr>
  </w:style>
  <w:style w:type="paragraph" w:styleId="Heading1">
    <w:name w:val="heading 1"/>
    <w:basedOn w:val="Normal"/>
    <w:next w:val="Normal"/>
    <w:link w:val="Heading1Char"/>
    <w:uiPriority w:val="9"/>
    <w:qFormat/>
    <w:rsid w:val="00746C19"/>
    <w:pPr>
      <w:keepNext/>
      <w:keepLines/>
      <w:outlineLvl w:val="0"/>
    </w:pPr>
    <w:rPr>
      <w:rFonts w:ascii="Helvetica Neue Medium" w:eastAsiaTheme="majorEastAsia" w:hAnsi="Helvetica Neue Medium" w:cstheme="majorBidi"/>
      <w:color w:val="2B41B1"/>
      <w:sz w:val="48"/>
      <w:szCs w:val="32"/>
    </w:rPr>
  </w:style>
  <w:style w:type="paragraph" w:styleId="Heading2">
    <w:name w:val="heading 2"/>
    <w:basedOn w:val="Normal"/>
    <w:next w:val="Normal"/>
    <w:link w:val="Heading2Char"/>
    <w:uiPriority w:val="9"/>
    <w:unhideWhenUsed/>
    <w:qFormat/>
    <w:rsid w:val="00E152EC"/>
    <w:pPr>
      <w:keepNext/>
      <w:keepLines/>
      <w:spacing w:before="40" w:after="0"/>
      <w:outlineLvl w:val="1"/>
    </w:pPr>
    <w:rPr>
      <w:rFonts w:ascii="Helvetica Neue Medium" w:eastAsiaTheme="majorEastAsia" w:hAnsi="Helvetica Neue Medium" w:cstheme="majorBidi"/>
      <w:color w:val="5E5D5D"/>
      <w:sz w:val="28"/>
      <w:szCs w:val="26"/>
    </w:rPr>
  </w:style>
  <w:style w:type="paragraph" w:styleId="Heading3">
    <w:name w:val="heading 3"/>
    <w:basedOn w:val="Normal"/>
    <w:next w:val="Normal"/>
    <w:link w:val="Heading3Char"/>
    <w:uiPriority w:val="9"/>
    <w:unhideWhenUsed/>
    <w:qFormat/>
    <w:rsid w:val="00F16DC4"/>
    <w:pPr>
      <w:keepNext/>
      <w:keepLines/>
      <w:outlineLvl w:val="2"/>
    </w:pPr>
    <w:rPr>
      <w:rFonts w:ascii="Helvetica Neue Medium" w:eastAsiaTheme="majorEastAsia" w:hAnsi="Helvetica Neue Medium" w:cstheme="majorBidi"/>
      <w:color w:val="2B41B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C19"/>
    <w:rPr>
      <w:rFonts w:ascii="Helvetica Neue Medium" w:eastAsiaTheme="majorEastAsia" w:hAnsi="Helvetica Neue Medium" w:cstheme="majorBidi"/>
      <w:color w:val="2B41B1"/>
      <w:sz w:val="48"/>
      <w:szCs w:val="32"/>
    </w:rPr>
  </w:style>
  <w:style w:type="character" w:customStyle="1" w:styleId="Heading2Char">
    <w:name w:val="Heading 2 Char"/>
    <w:basedOn w:val="DefaultParagraphFont"/>
    <w:link w:val="Heading2"/>
    <w:uiPriority w:val="9"/>
    <w:rsid w:val="00E152EC"/>
    <w:rPr>
      <w:rFonts w:ascii="Helvetica Neue Medium" w:eastAsiaTheme="majorEastAsia" w:hAnsi="Helvetica Neue Medium" w:cstheme="majorBidi"/>
      <w:color w:val="5E5D5D"/>
      <w:sz w:val="28"/>
      <w:szCs w:val="26"/>
    </w:rPr>
  </w:style>
  <w:style w:type="character" w:customStyle="1" w:styleId="Heading3Char">
    <w:name w:val="Heading 3 Char"/>
    <w:basedOn w:val="DefaultParagraphFont"/>
    <w:link w:val="Heading3"/>
    <w:uiPriority w:val="9"/>
    <w:rsid w:val="00F16DC4"/>
    <w:rPr>
      <w:rFonts w:ascii="Helvetica Neue Medium" w:eastAsiaTheme="majorEastAsia" w:hAnsi="Helvetica Neue Medium" w:cstheme="majorBidi"/>
      <w:color w:val="2B41B1"/>
      <w:sz w:val="18"/>
    </w:rPr>
  </w:style>
  <w:style w:type="table" w:styleId="TableGrid">
    <w:name w:val="Table Grid"/>
    <w:basedOn w:val="TableNormal"/>
    <w:uiPriority w:val="39"/>
    <w:rsid w:val="00F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6DC4"/>
    <w:rPr>
      <w:rFonts w:ascii="Helvetica Neue" w:hAnsi="Helvetica Neue"/>
      <w:color w:val="252729"/>
      <w:sz w:val="18"/>
    </w:rPr>
  </w:style>
  <w:style w:type="paragraph" w:customStyle="1" w:styleId="TableHeading">
    <w:name w:val="Table Heading"/>
    <w:basedOn w:val="Normal"/>
    <w:qFormat/>
    <w:rsid w:val="00572648"/>
    <w:pPr>
      <w:spacing w:after="0"/>
    </w:pPr>
    <w:rPr>
      <w:rFonts w:ascii="Helvetica Neue Medium" w:hAnsi="Helvetica Neue Medium"/>
      <w:color w:val="2B41B1"/>
      <w:szCs w:val="15"/>
    </w:rPr>
  </w:style>
  <w:style w:type="paragraph" w:customStyle="1" w:styleId="Table">
    <w:name w:val="Table"/>
    <w:basedOn w:val="Normal"/>
    <w:next w:val="Normal"/>
    <w:qFormat/>
    <w:rsid w:val="00572648"/>
    <w:pPr>
      <w:spacing w:after="0"/>
    </w:pPr>
    <w:rPr>
      <w:sz w:val="15"/>
      <w:szCs w:val="15"/>
    </w:rPr>
  </w:style>
  <w:style w:type="paragraph" w:customStyle="1" w:styleId="TableHeading2">
    <w:name w:val="Table Heading 2"/>
    <w:basedOn w:val="TableHeading"/>
    <w:qFormat/>
    <w:rsid w:val="00572648"/>
    <w:rPr>
      <w:color w:val="252729"/>
      <w:sz w:val="15"/>
    </w:rPr>
  </w:style>
  <w:style w:type="paragraph" w:styleId="FootnoteText">
    <w:name w:val="footnote text"/>
    <w:basedOn w:val="Normal"/>
    <w:link w:val="FootnoteTextChar"/>
    <w:uiPriority w:val="99"/>
    <w:semiHidden/>
    <w:unhideWhenUsed/>
    <w:rsid w:val="00C45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39E"/>
    <w:rPr>
      <w:rFonts w:ascii="Helvetica Neue" w:hAnsi="Helvetica Neue"/>
      <w:color w:val="252729"/>
      <w:sz w:val="20"/>
      <w:szCs w:val="20"/>
    </w:rPr>
  </w:style>
  <w:style w:type="character" w:styleId="FootnoteReference">
    <w:name w:val="footnote reference"/>
    <w:basedOn w:val="DefaultParagraphFont"/>
    <w:uiPriority w:val="99"/>
    <w:semiHidden/>
    <w:unhideWhenUsed/>
    <w:rsid w:val="00C4539E"/>
    <w:rPr>
      <w:vertAlign w:val="superscript"/>
    </w:rPr>
  </w:style>
  <w:style w:type="paragraph" w:customStyle="1" w:styleId="Footnote">
    <w:name w:val="Footnote"/>
    <w:basedOn w:val="Normal"/>
    <w:next w:val="Normal"/>
    <w:qFormat/>
    <w:rsid w:val="004E3152"/>
    <w:pPr>
      <w:ind w:left="170" w:right="-284" w:hanging="170"/>
    </w:pPr>
    <w:rPr>
      <w:rFonts w:cs="Times New Roman (Body CS)"/>
      <w:sz w:val="15"/>
    </w:rPr>
  </w:style>
  <w:style w:type="paragraph" w:styleId="Header">
    <w:name w:val="header"/>
    <w:basedOn w:val="Normal"/>
    <w:link w:val="HeaderChar"/>
    <w:uiPriority w:val="99"/>
    <w:unhideWhenUsed/>
    <w:rsid w:val="004E3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152"/>
    <w:rPr>
      <w:rFonts w:ascii="Helvetica Neue" w:hAnsi="Helvetica Neue"/>
      <w:color w:val="252729"/>
      <w:sz w:val="16"/>
    </w:rPr>
  </w:style>
  <w:style w:type="paragraph" w:styleId="Footer">
    <w:name w:val="footer"/>
    <w:basedOn w:val="Normal"/>
    <w:link w:val="FooterChar"/>
    <w:uiPriority w:val="99"/>
    <w:unhideWhenUsed/>
    <w:rsid w:val="004E3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152"/>
    <w:rPr>
      <w:rFonts w:ascii="Helvetica Neue" w:hAnsi="Helvetica Neue"/>
      <w:color w:val="252729"/>
      <w:sz w:val="16"/>
    </w:rPr>
  </w:style>
  <w:style w:type="character" w:styleId="PageNumber">
    <w:name w:val="page number"/>
    <w:basedOn w:val="DefaultParagraphFont"/>
    <w:uiPriority w:val="99"/>
    <w:semiHidden/>
    <w:unhideWhenUsed/>
    <w:rsid w:val="004E3152"/>
  </w:style>
  <w:style w:type="character" w:styleId="Hyperlink">
    <w:name w:val="Hyperlink"/>
    <w:basedOn w:val="DefaultParagraphFont"/>
    <w:uiPriority w:val="99"/>
    <w:unhideWhenUsed/>
    <w:rsid w:val="00833472"/>
    <w:rPr>
      <w:color w:val="0563C1" w:themeColor="hyperlink"/>
      <w:u w:val="single"/>
    </w:rPr>
  </w:style>
  <w:style w:type="character" w:styleId="FollowedHyperlink">
    <w:name w:val="FollowedHyperlink"/>
    <w:basedOn w:val="DefaultParagraphFont"/>
    <w:uiPriority w:val="99"/>
    <w:semiHidden/>
    <w:unhideWhenUsed/>
    <w:rsid w:val="00833472"/>
    <w:rPr>
      <w:color w:val="954F72" w:themeColor="followedHyperlink"/>
      <w:u w:val="single"/>
    </w:rPr>
  </w:style>
  <w:style w:type="character" w:customStyle="1" w:styleId="UnresolvedMention1">
    <w:name w:val="Unresolved Mention1"/>
    <w:basedOn w:val="DefaultParagraphFont"/>
    <w:uiPriority w:val="99"/>
    <w:semiHidden/>
    <w:unhideWhenUsed/>
    <w:rsid w:val="00833472"/>
    <w:rPr>
      <w:color w:val="808080"/>
      <w:shd w:val="clear" w:color="auto" w:fill="E6E6E6"/>
    </w:rPr>
  </w:style>
  <w:style w:type="paragraph" w:customStyle="1" w:styleId="TableParagraph">
    <w:name w:val="Table Paragraph"/>
    <w:basedOn w:val="Normal"/>
    <w:uiPriority w:val="1"/>
    <w:qFormat/>
    <w:rsid w:val="0010427C"/>
    <w:pPr>
      <w:widowControl w:val="0"/>
      <w:autoSpaceDE w:val="0"/>
      <w:autoSpaceDN w:val="0"/>
      <w:spacing w:after="0" w:line="240" w:lineRule="auto"/>
    </w:pPr>
    <w:rPr>
      <w:rFonts w:ascii="Arial" w:eastAsia="Arial" w:hAnsi="Arial" w:cs="Arial"/>
      <w:color w:val="auto"/>
      <w:sz w:val="22"/>
      <w:szCs w:val="22"/>
      <w:lang w:bidi="en-US"/>
    </w:rPr>
  </w:style>
  <w:style w:type="paragraph" w:styleId="BalloonText">
    <w:name w:val="Balloon Text"/>
    <w:basedOn w:val="Normal"/>
    <w:link w:val="BalloonTextChar"/>
    <w:uiPriority w:val="99"/>
    <w:semiHidden/>
    <w:unhideWhenUsed/>
    <w:rsid w:val="00AE7F6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E7F68"/>
    <w:rPr>
      <w:rFonts w:ascii="Tahoma" w:hAnsi="Tahoma" w:cs="Tahoma"/>
      <w:color w:val="252729"/>
      <w:sz w:val="16"/>
      <w:szCs w:val="16"/>
    </w:rPr>
  </w:style>
  <w:style w:type="character" w:customStyle="1" w:styleId="ListParagraphChar">
    <w:name w:val="List Paragraph Char"/>
    <w:basedOn w:val="DefaultParagraphFont"/>
    <w:link w:val="ListParagraph"/>
    <w:uiPriority w:val="34"/>
    <w:locked/>
    <w:rsid w:val="001E42FE"/>
  </w:style>
  <w:style w:type="paragraph" w:styleId="ListParagraph">
    <w:name w:val="List Paragraph"/>
    <w:basedOn w:val="Normal"/>
    <w:link w:val="ListParagraphChar"/>
    <w:uiPriority w:val="34"/>
    <w:qFormat/>
    <w:rsid w:val="001E42FE"/>
    <w:pPr>
      <w:spacing w:after="200" w:line="276" w:lineRule="auto"/>
      <w:ind w:left="720"/>
      <w:contextualSpacing/>
    </w:pPr>
    <w:rPr>
      <w:rFonts w:asciiTheme="minorHAnsi" w:hAnsiTheme="minorHAnsi"/>
      <w:color w:val="auto"/>
      <w:sz w:val="24"/>
    </w:rPr>
  </w:style>
  <w:style w:type="paragraph" w:styleId="BodyText">
    <w:name w:val="Body Text"/>
    <w:basedOn w:val="Normal"/>
    <w:link w:val="BodyTextChar"/>
    <w:uiPriority w:val="1"/>
    <w:unhideWhenUsed/>
    <w:rsid w:val="003A00AF"/>
    <w:pPr>
      <w:autoSpaceDE w:val="0"/>
      <w:autoSpaceDN w:val="0"/>
      <w:spacing w:before="120" w:after="0" w:line="252" w:lineRule="auto"/>
      <w:ind w:left="992" w:right="851"/>
    </w:pPr>
    <w:rPr>
      <w:rFonts w:ascii="HelveticaNeueLTStd-Lt" w:hAnsi="HelveticaNeueLTStd-Lt" w:cs="Calibri"/>
      <w:color w:val="212327"/>
      <w:sz w:val="18"/>
      <w:szCs w:val="18"/>
    </w:rPr>
  </w:style>
  <w:style w:type="character" w:customStyle="1" w:styleId="BodyTextChar">
    <w:name w:val="Body Text Char"/>
    <w:basedOn w:val="DefaultParagraphFont"/>
    <w:link w:val="BodyText"/>
    <w:uiPriority w:val="1"/>
    <w:rsid w:val="003A00AF"/>
    <w:rPr>
      <w:rFonts w:ascii="HelveticaNeueLTStd-Lt" w:hAnsi="HelveticaNeueLTStd-Lt" w:cs="Calibri"/>
      <w:color w:val="212327"/>
      <w:sz w:val="18"/>
      <w:szCs w:val="18"/>
    </w:rPr>
  </w:style>
  <w:style w:type="paragraph" w:styleId="Revision">
    <w:name w:val="Revision"/>
    <w:hidden/>
    <w:uiPriority w:val="99"/>
    <w:semiHidden/>
    <w:rsid w:val="00441A03"/>
    <w:rPr>
      <w:rFonts w:ascii="Helvetica Neue" w:hAnsi="Helvetica Neue"/>
      <w:color w:val="252729"/>
      <w:sz w:val="16"/>
    </w:rPr>
  </w:style>
  <w:style w:type="paragraph" w:customStyle="1" w:styleId="Pa10">
    <w:name w:val="Pa10"/>
    <w:basedOn w:val="Normal"/>
    <w:next w:val="Normal"/>
    <w:uiPriority w:val="99"/>
    <w:rsid w:val="007E0A9C"/>
    <w:pPr>
      <w:autoSpaceDE w:val="0"/>
      <w:autoSpaceDN w:val="0"/>
      <w:adjustRightInd w:val="0"/>
      <w:spacing w:after="0" w:line="241" w:lineRule="atLeast"/>
    </w:pPr>
    <w:rPr>
      <w:rFonts w:ascii="UQKHPT+HelveticaNeue" w:hAnsi="UQKHPT+HelveticaNeue"/>
      <w:color w:val="auto"/>
      <w:sz w:val="24"/>
    </w:rPr>
  </w:style>
  <w:style w:type="character" w:customStyle="1" w:styleId="A8">
    <w:name w:val="A8"/>
    <w:uiPriority w:val="99"/>
    <w:rsid w:val="007E0A9C"/>
    <w:rPr>
      <w:rFonts w:cs="UQKHPT+HelveticaNeue"/>
      <w:color w:val="000000"/>
      <w:sz w:val="14"/>
      <w:szCs w:val="14"/>
    </w:rPr>
  </w:style>
  <w:style w:type="paragraph" w:customStyle="1" w:styleId="Default">
    <w:name w:val="Default"/>
    <w:rsid w:val="00F459CE"/>
    <w:pPr>
      <w:autoSpaceDE w:val="0"/>
      <w:autoSpaceDN w:val="0"/>
      <w:adjustRightInd w:val="0"/>
    </w:pPr>
    <w:rPr>
      <w:rFonts w:ascii="Helvetica Neue" w:hAnsi="Helvetica Neue" w:cs="Helvetica Neue"/>
      <w:color w:val="000000"/>
    </w:rPr>
  </w:style>
  <w:style w:type="character" w:styleId="CommentReference">
    <w:name w:val="annotation reference"/>
    <w:basedOn w:val="DefaultParagraphFont"/>
    <w:uiPriority w:val="99"/>
    <w:semiHidden/>
    <w:unhideWhenUsed/>
    <w:rsid w:val="00233307"/>
    <w:rPr>
      <w:sz w:val="16"/>
      <w:szCs w:val="16"/>
    </w:rPr>
  </w:style>
  <w:style w:type="paragraph" w:styleId="CommentText">
    <w:name w:val="annotation text"/>
    <w:basedOn w:val="Normal"/>
    <w:link w:val="CommentTextChar"/>
    <w:uiPriority w:val="99"/>
    <w:unhideWhenUsed/>
    <w:rsid w:val="00233307"/>
    <w:pPr>
      <w:spacing w:line="240" w:lineRule="auto"/>
    </w:pPr>
    <w:rPr>
      <w:sz w:val="20"/>
      <w:szCs w:val="20"/>
    </w:rPr>
  </w:style>
  <w:style w:type="character" w:customStyle="1" w:styleId="CommentTextChar">
    <w:name w:val="Comment Text Char"/>
    <w:basedOn w:val="DefaultParagraphFont"/>
    <w:link w:val="CommentText"/>
    <w:uiPriority w:val="99"/>
    <w:rsid w:val="00233307"/>
    <w:rPr>
      <w:rFonts w:ascii="Helvetica Neue" w:hAnsi="Helvetica Neue"/>
      <w:color w:val="252729"/>
      <w:sz w:val="20"/>
      <w:szCs w:val="20"/>
    </w:rPr>
  </w:style>
  <w:style w:type="paragraph" w:styleId="CommentSubject">
    <w:name w:val="annotation subject"/>
    <w:basedOn w:val="CommentText"/>
    <w:next w:val="CommentText"/>
    <w:link w:val="CommentSubjectChar"/>
    <w:uiPriority w:val="99"/>
    <w:semiHidden/>
    <w:unhideWhenUsed/>
    <w:rsid w:val="00233307"/>
    <w:rPr>
      <w:b/>
      <w:bCs/>
    </w:rPr>
  </w:style>
  <w:style w:type="character" w:customStyle="1" w:styleId="CommentSubjectChar">
    <w:name w:val="Comment Subject Char"/>
    <w:basedOn w:val="CommentTextChar"/>
    <w:link w:val="CommentSubject"/>
    <w:uiPriority w:val="99"/>
    <w:semiHidden/>
    <w:rsid w:val="00233307"/>
    <w:rPr>
      <w:rFonts w:ascii="Helvetica Neue" w:hAnsi="Helvetica Neue"/>
      <w:b/>
      <w:bCs/>
      <w:color w:val="25272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199">
      <w:bodyDiv w:val="1"/>
      <w:marLeft w:val="0"/>
      <w:marRight w:val="0"/>
      <w:marTop w:val="0"/>
      <w:marBottom w:val="0"/>
      <w:divBdr>
        <w:top w:val="none" w:sz="0" w:space="0" w:color="auto"/>
        <w:left w:val="none" w:sz="0" w:space="0" w:color="auto"/>
        <w:bottom w:val="none" w:sz="0" w:space="0" w:color="auto"/>
        <w:right w:val="none" w:sz="0" w:space="0" w:color="auto"/>
      </w:divBdr>
    </w:div>
    <w:div w:id="249630818">
      <w:bodyDiv w:val="1"/>
      <w:marLeft w:val="0"/>
      <w:marRight w:val="0"/>
      <w:marTop w:val="0"/>
      <w:marBottom w:val="0"/>
      <w:divBdr>
        <w:top w:val="none" w:sz="0" w:space="0" w:color="auto"/>
        <w:left w:val="none" w:sz="0" w:space="0" w:color="auto"/>
        <w:bottom w:val="none" w:sz="0" w:space="0" w:color="auto"/>
        <w:right w:val="none" w:sz="0" w:space="0" w:color="auto"/>
      </w:divBdr>
    </w:div>
    <w:div w:id="332144024">
      <w:bodyDiv w:val="1"/>
      <w:marLeft w:val="0"/>
      <w:marRight w:val="0"/>
      <w:marTop w:val="0"/>
      <w:marBottom w:val="0"/>
      <w:divBdr>
        <w:top w:val="none" w:sz="0" w:space="0" w:color="auto"/>
        <w:left w:val="none" w:sz="0" w:space="0" w:color="auto"/>
        <w:bottom w:val="none" w:sz="0" w:space="0" w:color="auto"/>
        <w:right w:val="none" w:sz="0" w:space="0" w:color="auto"/>
      </w:divBdr>
    </w:div>
    <w:div w:id="389161113">
      <w:bodyDiv w:val="1"/>
      <w:marLeft w:val="0"/>
      <w:marRight w:val="0"/>
      <w:marTop w:val="0"/>
      <w:marBottom w:val="0"/>
      <w:divBdr>
        <w:top w:val="none" w:sz="0" w:space="0" w:color="auto"/>
        <w:left w:val="none" w:sz="0" w:space="0" w:color="auto"/>
        <w:bottom w:val="none" w:sz="0" w:space="0" w:color="auto"/>
        <w:right w:val="none" w:sz="0" w:space="0" w:color="auto"/>
      </w:divBdr>
    </w:div>
    <w:div w:id="618071970">
      <w:bodyDiv w:val="1"/>
      <w:marLeft w:val="0"/>
      <w:marRight w:val="0"/>
      <w:marTop w:val="0"/>
      <w:marBottom w:val="0"/>
      <w:divBdr>
        <w:top w:val="none" w:sz="0" w:space="0" w:color="auto"/>
        <w:left w:val="none" w:sz="0" w:space="0" w:color="auto"/>
        <w:bottom w:val="none" w:sz="0" w:space="0" w:color="auto"/>
        <w:right w:val="none" w:sz="0" w:space="0" w:color="auto"/>
      </w:divBdr>
    </w:div>
    <w:div w:id="628248015">
      <w:bodyDiv w:val="1"/>
      <w:marLeft w:val="0"/>
      <w:marRight w:val="0"/>
      <w:marTop w:val="0"/>
      <w:marBottom w:val="0"/>
      <w:divBdr>
        <w:top w:val="none" w:sz="0" w:space="0" w:color="auto"/>
        <w:left w:val="none" w:sz="0" w:space="0" w:color="auto"/>
        <w:bottom w:val="none" w:sz="0" w:space="0" w:color="auto"/>
        <w:right w:val="none" w:sz="0" w:space="0" w:color="auto"/>
      </w:divBdr>
    </w:div>
    <w:div w:id="631715450">
      <w:bodyDiv w:val="1"/>
      <w:marLeft w:val="0"/>
      <w:marRight w:val="0"/>
      <w:marTop w:val="0"/>
      <w:marBottom w:val="0"/>
      <w:divBdr>
        <w:top w:val="none" w:sz="0" w:space="0" w:color="auto"/>
        <w:left w:val="none" w:sz="0" w:space="0" w:color="auto"/>
        <w:bottom w:val="none" w:sz="0" w:space="0" w:color="auto"/>
        <w:right w:val="none" w:sz="0" w:space="0" w:color="auto"/>
      </w:divBdr>
    </w:div>
    <w:div w:id="1017078778">
      <w:bodyDiv w:val="1"/>
      <w:marLeft w:val="0"/>
      <w:marRight w:val="0"/>
      <w:marTop w:val="0"/>
      <w:marBottom w:val="0"/>
      <w:divBdr>
        <w:top w:val="none" w:sz="0" w:space="0" w:color="auto"/>
        <w:left w:val="none" w:sz="0" w:space="0" w:color="auto"/>
        <w:bottom w:val="none" w:sz="0" w:space="0" w:color="auto"/>
        <w:right w:val="none" w:sz="0" w:space="0" w:color="auto"/>
      </w:divBdr>
    </w:div>
    <w:div w:id="1184324228">
      <w:bodyDiv w:val="1"/>
      <w:marLeft w:val="0"/>
      <w:marRight w:val="0"/>
      <w:marTop w:val="0"/>
      <w:marBottom w:val="0"/>
      <w:divBdr>
        <w:top w:val="none" w:sz="0" w:space="0" w:color="auto"/>
        <w:left w:val="none" w:sz="0" w:space="0" w:color="auto"/>
        <w:bottom w:val="none" w:sz="0" w:space="0" w:color="auto"/>
        <w:right w:val="none" w:sz="0" w:space="0" w:color="auto"/>
      </w:divBdr>
    </w:div>
    <w:div w:id="1430200142">
      <w:bodyDiv w:val="1"/>
      <w:marLeft w:val="0"/>
      <w:marRight w:val="0"/>
      <w:marTop w:val="0"/>
      <w:marBottom w:val="0"/>
      <w:divBdr>
        <w:top w:val="none" w:sz="0" w:space="0" w:color="auto"/>
        <w:left w:val="none" w:sz="0" w:space="0" w:color="auto"/>
        <w:bottom w:val="none" w:sz="0" w:space="0" w:color="auto"/>
        <w:right w:val="none" w:sz="0" w:space="0" w:color="auto"/>
      </w:divBdr>
    </w:div>
    <w:div w:id="1670014336">
      <w:bodyDiv w:val="1"/>
      <w:marLeft w:val="0"/>
      <w:marRight w:val="0"/>
      <w:marTop w:val="0"/>
      <w:marBottom w:val="0"/>
      <w:divBdr>
        <w:top w:val="none" w:sz="0" w:space="0" w:color="auto"/>
        <w:left w:val="none" w:sz="0" w:space="0" w:color="auto"/>
        <w:bottom w:val="none" w:sz="0" w:space="0" w:color="auto"/>
        <w:right w:val="none" w:sz="0" w:space="0" w:color="auto"/>
      </w:divBdr>
    </w:div>
    <w:div w:id="1747653305">
      <w:bodyDiv w:val="1"/>
      <w:marLeft w:val="0"/>
      <w:marRight w:val="0"/>
      <w:marTop w:val="0"/>
      <w:marBottom w:val="0"/>
      <w:divBdr>
        <w:top w:val="none" w:sz="0" w:space="0" w:color="auto"/>
        <w:left w:val="none" w:sz="0" w:space="0" w:color="auto"/>
        <w:bottom w:val="none" w:sz="0" w:space="0" w:color="auto"/>
        <w:right w:val="none" w:sz="0" w:space="0" w:color="auto"/>
      </w:divBdr>
    </w:div>
    <w:div w:id="1797217186">
      <w:bodyDiv w:val="1"/>
      <w:marLeft w:val="0"/>
      <w:marRight w:val="0"/>
      <w:marTop w:val="0"/>
      <w:marBottom w:val="0"/>
      <w:divBdr>
        <w:top w:val="none" w:sz="0" w:space="0" w:color="auto"/>
        <w:left w:val="none" w:sz="0" w:space="0" w:color="auto"/>
        <w:bottom w:val="none" w:sz="0" w:space="0" w:color="auto"/>
        <w:right w:val="none" w:sz="0" w:space="0" w:color="auto"/>
      </w:divBdr>
    </w:div>
    <w:div w:id="1806507659">
      <w:bodyDiv w:val="1"/>
      <w:marLeft w:val="0"/>
      <w:marRight w:val="0"/>
      <w:marTop w:val="0"/>
      <w:marBottom w:val="0"/>
      <w:divBdr>
        <w:top w:val="none" w:sz="0" w:space="0" w:color="auto"/>
        <w:left w:val="none" w:sz="0" w:space="0" w:color="auto"/>
        <w:bottom w:val="none" w:sz="0" w:space="0" w:color="auto"/>
        <w:right w:val="none" w:sz="0" w:space="0" w:color="auto"/>
      </w:divBdr>
    </w:div>
    <w:div w:id="1926725262">
      <w:bodyDiv w:val="1"/>
      <w:marLeft w:val="0"/>
      <w:marRight w:val="0"/>
      <w:marTop w:val="0"/>
      <w:marBottom w:val="0"/>
      <w:divBdr>
        <w:top w:val="none" w:sz="0" w:space="0" w:color="auto"/>
        <w:left w:val="none" w:sz="0" w:space="0" w:color="auto"/>
        <w:bottom w:val="none" w:sz="0" w:space="0" w:color="auto"/>
        <w:right w:val="none" w:sz="0" w:space="0" w:color="auto"/>
      </w:divBdr>
    </w:div>
    <w:div w:id="2088653785">
      <w:bodyDiv w:val="1"/>
      <w:marLeft w:val="0"/>
      <w:marRight w:val="0"/>
      <w:marTop w:val="0"/>
      <w:marBottom w:val="0"/>
      <w:divBdr>
        <w:top w:val="none" w:sz="0" w:space="0" w:color="auto"/>
        <w:left w:val="none" w:sz="0" w:space="0" w:color="auto"/>
        <w:bottom w:val="none" w:sz="0" w:space="0" w:color="auto"/>
        <w:right w:val="none" w:sz="0" w:space="0" w:color="auto"/>
      </w:divBdr>
    </w:div>
    <w:div w:id="210923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35431F2084194E91EA79723EE105BE" ma:contentTypeVersion="10" ma:contentTypeDescription="Create a new document." ma:contentTypeScope="" ma:versionID="3ddcea7a10592ebc28c91e77d3b5a786">
  <xsd:schema xmlns:xsd="http://www.w3.org/2001/XMLSchema" xmlns:xs="http://www.w3.org/2001/XMLSchema" xmlns:p="http://schemas.microsoft.com/office/2006/metadata/properties" xmlns:ns3="b9db48c6-714e-4590-aca9-ffcb8ff25af0" xmlns:ns4="284d2735-1c77-46e7-bf25-7b65741b7442" targetNamespace="http://schemas.microsoft.com/office/2006/metadata/properties" ma:root="true" ma:fieldsID="fa3ca00657520d0ba67934ebca8f4667" ns3:_="" ns4:_="">
    <xsd:import namespace="b9db48c6-714e-4590-aca9-ffcb8ff25af0"/>
    <xsd:import namespace="284d2735-1c77-46e7-bf25-7b65741b74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48c6-714e-4590-aca9-ffcb8ff25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d2735-1c77-46e7-bf25-7b65741b74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9db48c6-714e-4590-aca9-ffcb8ff25af0" xsi:nil="true"/>
  </documentManagement>
</p:properties>
</file>

<file path=customXml/itemProps1.xml><?xml version="1.0" encoding="utf-8"?>
<ds:datastoreItem xmlns:ds="http://schemas.openxmlformats.org/officeDocument/2006/customXml" ds:itemID="{1925252C-5CF1-44CC-98E9-A2D37B9B6734}">
  <ds:schemaRefs>
    <ds:schemaRef ds:uri="http://schemas.openxmlformats.org/officeDocument/2006/bibliography"/>
  </ds:schemaRefs>
</ds:datastoreItem>
</file>

<file path=customXml/itemProps2.xml><?xml version="1.0" encoding="utf-8"?>
<ds:datastoreItem xmlns:ds="http://schemas.openxmlformats.org/officeDocument/2006/customXml" ds:itemID="{20D7CF42-460D-49E9-AF5A-8FA4493FC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b48c6-714e-4590-aca9-ffcb8ff25af0"/>
    <ds:schemaRef ds:uri="284d2735-1c77-46e7-bf25-7b65741b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3E739-FFA0-4EDF-9A1C-AFAE898395BE}">
  <ds:schemaRefs>
    <ds:schemaRef ds:uri="http://schemas.microsoft.com/sharepoint/v3/contenttype/forms"/>
  </ds:schemaRefs>
</ds:datastoreItem>
</file>

<file path=customXml/itemProps4.xml><?xml version="1.0" encoding="utf-8"?>
<ds:datastoreItem xmlns:ds="http://schemas.openxmlformats.org/officeDocument/2006/customXml" ds:itemID="{98B105EF-547B-490E-A7B5-D9D072279F13}">
  <ds:schemaRefs>
    <ds:schemaRef ds:uri="http://schemas.microsoft.com/office/2006/metadata/properties"/>
    <ds:schemaRef ds:uri="http://schemas.microsoft.com/office/infopath/2007/PartnerControls"/>
    <ds:schemaRef ds:uri="b9db48c6-714e-4590-aca9-ffcb8ff25a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Vincent Stranges</cp:lastModifiedBy>
  <cp:revision>2</cp:revision>
  <cp:lastPrinted>2018-07-06T05:34:00Z</cp:lastPrinted>
  <dcterms:created xsi:type="dcterms:W3CDTF">2023-07-19T04:41:00Z</dcterms:created>
  <dcterms:modified xsi:type="dcterms:W3CDTF">2023-07-19T04:41:00Z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0x010100E935431F2084194E91EA79723EE105BE</vt:lpwstr>
  </property>
</Properties>
</file>