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FC92" w14:textId="77777777" w:rsidR="0044751F" w:rsidRPr="00793596" w:rsidRDefault="0044751F">
      <w:pPr>
        <w:rPr>
          <w:rFonts w:ascii="Helvetica" w:hAnsi="Helvetica"/>
        </w:rPr>
      </w:pPr>
      <w:r w:rsidRPr="00793596">
        <w:rPr>
          <w:rFonts w:ascii="Helvetica" w:hAnsi="Helvetica"/>
          <w:noProof/>
          <w:lang w:val="en-GB" w:eastAsia="en-GB"/>
        </w:rPr>
        <w:drawing>
          <wp:inline distT="0" distB="0" distL="0" distR="0" wp14:anchorId="1D424441" wp14:editId="237DA9C9">
            <wp:extent cx="1616400" cy="43152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tion Lif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6400" cy="431528"/>
                    </a:xfrm>
                    <a:prstGeom prst="rect">
                      <a:avLst/>
                    </a:prstGeom>
                  </pic:spPr>
                </pic:pic>
              </a:graphicData>
            </a:graphic>
          </wp:inline>
        </w:drawing>
      </w:r>
    </w:p>
    <w:p w14:paraId="26354023" w14:textId="77777777" w:rsidR="00C4539E" w:rsidRPr="00793596" w:rsidRDefault="00C4539E">
      <w:pPr>
        <w:rPr>
          <w:rFonts w:ascii="Helvetica" w:hAnsi="Helvetica"/>
        </w:rPr>
      </w:pPr>
    </w:p>
    <w:p w14:paraId="5502C120" w14:textId="47627F59" w:rsidR="00E27E5D" w:rsidRPr="00793596" w:rsidRDefault="00E27E5D" w:rsidP="00572648">
      <w:pPr>
        <w:pStyle w:val="Heading2"/>
        <w:rPr>
          <w:rFonts w:ascii="Helvetica" w:hAnsi="Helvetica"/>
          <w:color w:val="2B41B1"/>
          <w:sz w:val="48"/>
          <w:szCs w:val="32"/>
        </w:rPr>
      </w:pPr>
      <w:r w:rsidRPr="00793596">
        <w:rPr>
          <w:rFonts w:ascii="Helvetica" w:hAnsi="Helvetica"/>
          <w:color w:val="2B41B1"/>
          <w:sz w:val="48"/>
          <w:szCs w:val="32"/>
        </w:rPr>
        <w:br/>
        <w:t xml:space="preserve">Sample Record of Advice or </w:t>
      </w:r>
    </w:p>
    <w:p w14:paraId="15E24CFE" w14:textId="46C903BD" w:rsidR="00FE6E18" w:rsidRPr="00793596" w:rsidRDefault="00E27E5D" w:rsidP="00572648">
      <w:pPr>
        <w:pStyle w:val="Heading2"/>
        <w:rPr>
          <w:rFonts w:ascii="Helvetica" w:hAnsi="Helvetica"/>
          <w:color w:val="2B41B1"/>
          <w:sz w:val="48"/>
          <w:szCs w:val="32"/>
        </w:rPr>
      </w:pPr>
      <w:r w:rsidRPr="00793596">
        <w:rPr>
          <w:rFonts w:ascii="Helvetica" w:hAnsi="Helvetica"/>
          <w:color w:val="2B41B1"/>
          <w:sz w:val="48"/>
          <w:szCs w:val="32"/>
        </w:rPr>
        <w:t>Statement of Advice inserts</w:t>
      </w:r>
      <w:r w:rsidRPr="00793596">
        <w:rPr>
          <w:rFonts w:ascii="Helvetica" w:hAnsi="Helvetica"/>
          <w:color w:val="2B41B1"/>
          <w:sz w:val="48"/>
          <w:szCs w:val="32"/>
        </w:rPr>
        <w:tab/>
      </w:r>
      <w:r w:rsidRPr="00793596">
        <w:rPr>
          <w:rFonts w:ascii="Helvetica" w:hAnsi="Helvetica"/>
          <w:color w:val="2B41B1"/>
          <w:sz w:val="48"/>
          <w:szCs w:val="32"/>
        </w:rPr>
        <w:tab/>
      </w:r>
      <w:r w:rsidRPr="00793596">
        <w:rPr>
          <w:rFonts w:ascii="Helvetica" w:hAnsi="Helvetica"/>
          <w:color w:val="2B41B1"/>
          <w:sz w:val="48"/>
          <w:szCs w:val="32"/>
        </w:rPr>
        <w:tab/>
      </w:r>
      <w:r w:rsidR="00B538D1" w:rsidRPr="00793596">
        <w:rPr>
          <w:rFonts w:ascii="Helvetica" w:hAnsi="Helvetica"/>
          <w:color w:val="2B41B1"/>
          <w:sz w:val="48"/>
          <w:szCs w:val="32"/>
        </w:rPr>
        <w:tab/>
      </w:r>
      <w:r w:rsidR="0010427C" w:rsidRPr="00793596">
        <w:rPr>
          <w:rFonts w:ascii="Helvetica" w:hAnsi="Helvetica"/>
          <w:noProof/>
          <w:color w:val="2B41B1"/>
          <w:sz w:val="48"/>
          <w:szCs w:val="32"/>
          <w:lang w:val="en-GB" w:eastAsia="en-GB"/>
        </w:rPr>
        <w:drawing>
          <wp:inline distT="0" distB="0" distL="0" distR="0" wp14:anchorId="681ED630" wp14:editId="020BEDEC">
            <wp:extent cx="216000" cy="2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rner 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5CA8F581" w14:textId="79BC3B77" w:rsidR="00503FCB" w:rsidRPr="00793596" w:rsidRDefault="00BE6FA9" w:rsidP="007D619A">
      <w:pPr>
        <w:spacing w:before="120" w:after="0"/>
        <w:rPr>
          <w:rFonts w:ascii="Helvetica" w:eastAsiaTheme="majorEastAsia" w:hAnsi="Helvetica" w:cstheme="majorBidi"/>
          <w:color w:val="5E5D5D"/>
          <w:sz w:val="32"/>
          <w:szCs w:val="32"/>
        </w:rPr>
      </w:pPr>
      <w:r w:rsidRPr="00793596">
        <w:rPr>
          <w:rFonts w:ascii="Helvetica" w:eastAsiaTheme="majorEastAsia" w:hAnsi="Helvetica" w:cstheme="majorBidi"/>
          <w:color w:val="5E5D5D"/>
          <w:sz w:val="32"/>
          <w:szCs w:val="32"/>
        </w:rPr>
        <w:br/>
      </w:r>
      <w:bookmarkStart w:id="0" w:name="_Hlk41560842"/>
      <w:bookmarkStart w:id="1" w:name="_Hlk41561154"/>
      <w:r w:rsidR="00E27E5D" w:rsidRPr="00793596">
        <w:rPr>
          <w:rFonts w:ascii="Helvetica" w:eastAsiaTheme="majorEastAsia" w:hAnsi="Helvetica" w:cstheme="majorBidi"/>
          <w:color w:val="5E5D5D"/>
          <w:sz w:val="32"/>
          <w:szCs w:val="32"/>
        </w:rPr>
        <w:t>Generation Life Investment Bonds</w:t>
      </w:r>
      <w:r w:rsidR="00E27E5D" w:rsidRPr="00793596">
        <w:rPr>
          <w:rFonts w:ascii="Helvetica" w:hAnsi="Helvetica"/>
          <w:sz w:val="20"/>
          <w:szCs w:val="32"/>
        </w:rPr>
        <w:br/>
      </w:r>
      <w:r w:rsidR="00872C58">
        <w:rPr>
          <w:rFonts w:ascii="Helvetica" w:eastAsiaTheme="majorEastAsia" w:hAnsi="Helvetica" w:cstheme="majorBidi"/>
          <w:color w:val="5E5D5D"/>
          <w:sz w:val="32"/>
          <w:szCs w:val="32"/>
        </w:rPr>
        <w:t>Investment</w:t>
      </w:r>
      <w:r w:rsidR="00872C58" w:rsidRPr="00793596">
        <w:rPr>
          <w:rFonts w:ascii="Helvetica" w:eastAsiaTheme="majorEastAsia" w:hAnsi="Helvetica" w:cstheme="majorBidi"/>
          <w:color w:val="5E5D5D"/>
          <w:sz w:val="32"/>
          <w:szCs w:val="32"/>
        </w:rPr>
        <w:t xml:space="preserve"> </w:t>
      </w:r>
      <w:r w:rsidR="00E27E5D" w:rsidRPr="00793596">
        <w:rPr>
          <w:rFonts w:ascii="Helvetica" w:eastAsiaTheme="majorEastAsia" w:hAnsi="Helvetica" w:cstheme="majorBidi"/>
          <w:color w:val="5E5D5D"/>
          <w:sz w:val="32"/>
          <w:szCs w:val="32"/>
        </w:rPr>
        <w:t>manager change - Australian Shares (UF20</w:t>
      </w:r>
      <w:r w:rsidR="00503FCB" w:rsidRPr="00793596">
        <w:rPr>
          <w:rFonts w:ascii="Helvetica" w:eastAsiaTheme="majorEastAsia" w:hAnsi="Helvetica" w:cstheme="majorBidi"/>
          <w:color w:val="5E5D5D"/>
          <w:sz w:val="32"/>
          <w:szCs w:val="32"/>
        </w:rPr>
        <w:t>)</w:t>
      </w:r>
    </w:p>
    <w:p w14:paraId="0DDDAC3C" w14:textId="6C8DF2E7" w:rsidR="00E27E5D" w:rsidRPr="00793596" w:rsidRDefault="00503FCB" w:rsidP="00503FCB">
      <w:pPr>
        <w:spacing w:after="0"/>
        <w:rPr>
          <w:rFonts w:ascii="Helvetica" w:eastAsiaTheme="majorEastAsia" w:hAnsi="Helvetica" w:cstheme="majorBidi"/>
          <w:color w:val="5E5D5D"/>
          <w:sz w:val="32"/>
          <w:szCs w:val="32"/>
        </w:rPr>
      </w:pPr>
      <w:r w:rsidRPr="00793596">
        <w:rPr>
          <w:rFonts w:ascii="Helvetica" w:eastAsiaTheme="majorEastAsia" w:hAnsi="Helvetica" w:cstheme="majorBidi"/>
          <w:color w:val="5E5D5D"/>
          <w:sz w:val="32"/>
          <w:szCs w:val="32"/>
        </w:rPr>
        <w:t>Generation Life APIR code - ALL0024AU</w:t>
      </w:r>
    </w:p>
    <w:p w14:paraId="3B8DBB98" w14:textId="77777777" w:rsidR="00E27E5D" w:rsidRPr="00793596" w:rsidRDefault="00E27E5D" w:rsidP="00E27E5D">
      <w:pPr>
        <w:ind w:right="-75"/>
        <w:rPr>
          <w:rFonts w:ascii="Helvetica" w:hAnsi="Helvetica"/>
          <w:b/>
          <w:bCs/>
          <w:color w:val="2B41B1"/>
          <w:sz w:val="18"/>
          <w:szCs w:val="28"/>
        </w:rPr>
      </w:pPr>
    </w:p>
    <w:p w14:paraId="2B32CF8A" w14:textId="332F604A" w:rsidR="00E27E5D"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t>WHAT’S CHANGING?</w:t>
      </w:r>
    </w:p>
    <w:p w14:paraId="5750A684" w14:textId="18B5BA2E" w:rsidR="00E27E5D" w:rsidRPr="00591645" w:rsidRDefault="00E27E5D" w:rsidP="00E27E5D">
      <w:pPr>
        <w:ind w:right="-75"/>
        <w:rPr>
          <w:rFonts w:ascii="Helvetica" w:hAnsi="Helvetica"/>
          <w:sz w:val="18"/>
          <w:szCs w:val="18"/>
        </w:rPr>
      </w:pPr>
      <w:r w:rsidRPr="00591645">
        <w:rPr>
          <w:rFonts w:ascii="Helvetica" w:hAnsi="Helvetica"/>
          <w:sz w:val="18"/>
          <w:szCs w:val="18"/>
        </w:rPr>
        <w:t xml:space="preserve">The Generation Life Australian </w:t>
      </w:r>
      <w:r w:rsidR="00CC52D2" w:rsidRPr="00591645">
        <w:rPr>
          <w:rFonts w:ascii="Helvetica" w:hAnsi="Helvetica"/>
          <w:sz w:val="18"/>
          <w:szCs w:val="18"/>
        </w:rPr>
        <w:t xml:space="preserve">shares </w:t>
      </w:r>
      <w:r w:rsidRPr="00591645">
        <w:rPr>
          <w:rFonts w:ascii="Helvetica" w:hAnsi="Helvetica"/>
          <w:sz w:val="18"/>
          <w:szCs w:val="18"/>
        </w:rPr>
        <w:t xml:space="preserve">investment option (Fund Code UF20) is changing </w:t>
      </w:r>
      <w:r w:rsidR="00872C58" w:rsidRPr="00591645">
        <w:rPr>
          <w:rFonts w:ascii="Helvetica" w:hAnsi="Helvetica"/>
          <w:sz w:val="18"/>
          <w:szCs w:val="18"/>
        </w:rPr>
        <w:t xml:space="preserve">investment </w:t>
      </w:r>
      <w:r w:rsidRPr="00591645">
        <w:rPr>
          <w:rFonts w:ascii="Helvetica" w:hAnsi="Helvetica"/>
          <w:sz w:val="18"/>
          <w:szCs w:val="18"/>
        </w:rPr>
        <w:t>manager and strategy.</w:t>
      </w:r>
    </w:p>
    <w:p w14:paraId="4C10F76F" w14:textId="68803A6E" w:rsidR="00E27E5D" w:rsidRPr="00591645" w:rsidRDefault="003D1DDC" w:rsidP="00E27E5D">
      <w:pPr>
        <w:ind w:right="-75"/>
        <w:rPr>
          <w:rFonts w:ascii="Helvetica" w:hAnsi="Helvetica"/>
          <w:sz w:val="18"/>
          <w:szCs w:val="18"/>
        </w:rPr>
      </w:pPr>
      <w:r w:rsidRPr="00591645">
        <w:rPr>
          <w:rFonts w:ascii="Helvetica" w:hAnsi="Helvetica"/>
          <w:sz w:val="18"/>
          <w:szCs w:val="18"/>
        </w:rPr>
        <w:t>BlackRock Investment Management (Australia) Limited</w:t>
      </w:r>
      <w:r w:rsidR="00872C58" w:rsidRPr="00591645">
        <w:rPr>
          <w:rFonts w:ascii="Helvetica" w:hAnsi="Helvetica"/>
          <w:sz w:val="18"/>
          <w:szCs w:val="18"/>
        </w:rPr>
        <w:t xml:space="preserve"> (BlackRock)</w:t>
      </w:r>
      <w:r w:rsidRPr="00591645" w:rsidDel="003D1DDC">
        <w:rPr>
          <w:rFonts w:ascii="Helvetica" w:hAnsi="Helvetica"/>
          <w:sz w:val="18"/>
          <w:szCs w:val="18"/>
        </w:rPr>
        <w:t xml:space="preserve"> </w:t>
      </w:r>
      <w:r w:rsidR="00E27E5D" w:rsidRPr="00591645">
        <w:rPr>
          <w:rFonts w:ascii="Helvetica" w:hAnsi="Helvetica"/>
          <w:sz w:val="18"/>
          <w:szCs w:val="18"/>
        </w:rPr>
        <w:t xml:space="preserve">is being replaced as the investment option’s manager with </w:t>
      </w:r>
      <w:r w:rsidR="00437BAB" w:rsidRPr="00591645">
        <w:rPr>
          <w:rFonts w:ascii="Helvetica" w:hAnsi="Helvetica"/>
          <w:sz w:val="18"/>
          <w:szCs w:val="18"/>
        </w:rPr>
        <w:t xml:space="preserve">DNR Capital </w:t>
      </w:r>
      <w:r w:rsidR="00872C58" w:rsidRPr="00591645">
        <w:rPr>
          <w:rFonts w:ascii="Helvetica" w:hAnsi="Helvetica"/>
          <w:sz w:val="18"/>
          <w:szCs w:val="18"/>
        </w:rPr>
        <w:t>Pty Ltd (DNR Capital)</w:t>
      </w:r>
      <w:r w:rsidRPr="00591645">
        <w:rPr>
          <w:rFonts w:ascii="Helvetica" w:hAnsi="Helvetica"/>
          <w:sz w:val="18"/>
          <w:szCs w:val="18"/>
        </w:rPr>
        <w:t>.</w:t>
      </w:r>
      <w:r w:rsidR="00E27E5D" w:rsidRPr="00591645">
        <w:rPr>
          <w:rFonts w:ascii="Helvetica" w:hAnsi="Helvetica"/>
          <w:sz w:val="18"/>
          <w:szCs w:val="18"/>
        </w:rPr>
        <w:t xml:space="preserve"> As a result, the investment option</w:t>
      </w:r>
      <w:r w:rsidR="00441A03" w:rsidRPr="00591645">
        <w:rPr>
          <w:rFonts w:ascii="Helvetica" w:hAnsi="Helvetica"/>
          <w:sz w:val="18"/>
          <w:szCs w:val="18"/>
        </w:rPr>
        <w:t>’</w:t>
      </w:r>
      <w:r w:rsidR="00E27E5D" w:rsidRPr="00591645">
        <w:rPr>
          <w:rFonts w:ascii="Helvetica" w:hAnsi="Helvetica"/>
          <w:sz w:val="18"/>
          <w:szCs w:val="18"/>
        </w:rPr>
        <w:t xml:space="preserve">s strategy will now change from the </w:t>
      </w:r>
      <w:r w:rsidRPr="00591645">
        <w:rPr>
          <w:rFonts w:ascii="Helvetica" w:hAnsi="Helvetica"/>
          <w:sz w:val="18"/>
          <w:szCs w:val="18"/>
        </w:rPr>
        <w:t>BlackRock High Conviction Australian Equity Fund</w:t>
      </w:r>
      <w:r w:rsidRPr="00591645" w:rsidDel="003D1DDC">
        <w:rPr>
          <w:rFonts w:ascii="Helvetica" w:hAnsi="Helvetica"/>
          <w:sz w:val="18"/>
          <w:szCs w:val="18"/>
        </w:rPr>
        <w:t xml:space="preserve"> </w:t>
      </w:r>
      <w:r w:rsidR="00E27E5D" w:rsidRPr="00591645">
        <w:rPr>
          <w:rFonts w:ascii="Helvetica" w:hAnsi="Helvetica"/>
          <w:sz w:val="18"/>
          <w:szCs w:val="18"/>
        </w:rPr>
        <w:t xml:space="preserve">to the </w:t>
      </w:r>
      <w:r w:rsidR="00437BAB" w:rsidRPr="00591645">
        <w:rPr>
          <w:rFonts w:ascii="Helvetica" w:hAnsi="Helvetica"/>
          <w:sz w:val="18"/>
          <w:szCs w:val="18"/>
        </w:rPr>
        <w:t xml:space="preserve">DNR Capital </w:t>
      </w:r>
      <w:r w:rsidR="009262F6" w:rsidRPr="00591645">
        <w:rPr>
          <w:rFonts w:ascii="Helvetica" w:hAnsi="Helvetica"/>
          <w:sz w:val="18"/>
          <w:szCs w:val="18"/>
        </w:rPr>
        <w:t xml:space="preserve">Australian </w:t>
      </w:r>
      <w:r w:rsidR="00437BAB" w:rsidRPr="00591645">
        <w:rPr>
          <w:rFonts w:ascii="Helvetica" w:hAnsi="Helvetica"/>
          <w:sz w:val="18"/>
          <w:szCs w:val="18"/>
        </w:rPr>
        <w:t>Emerging Companies Portfolio</w:t>
      </w:r>
      <w:r w:rsidRPr="00591645">
        <w:rPr>
          <w:rFonts w:ascii="Helvetica" w:hAnsi="Helvetica"/>
          <w:sz w:val="18"/>
          <w:szCs w:val="18"/>
        </w:rPr>
        <w:t xml:space="preserve"> </w:t>
      </w:r>
      <w:r w:rsidR="00E27E5D" w:rsidRPr="00591645">
        <w:rPr>
          <w:rFonts w:ascii="Helvetica" w:hAnsi="Helvetica"/>
          <w:sz w:val="18"/>
          <w:szCs w:val="18"/>
        </w:rPr>
        <w:t>strategy.</w:t>
      </w:r>
    </w:p>
    <w:p w14:paraId="41F1433A" w14:textId="77777777" w:rsidR="00E27E5D" w:rsidRPr="00591645" w:rsidRDefault="00E27E5D" w:rsidP="00E27E5D">
      <w:pPr>
        <w:ind w:right="-75"/>
        <w:rPr>
          <w:rFonts w:ascii="Helvetica" w:hAnsi="Helvetica"/>
          <w:b/>
          <w:bCs/>
          <w:color w:val="2B41B1"/>
          <w:sz w:val="18"/>
          <w:szCs w:val="18"/>
        </w:rPr>
      </w:pPr>
      <w:r w:rsidRPr="00591645">
        <w:rPr>
          <w:rFonts w:ascii="Helvetica" w:hAnsi="Helvetica"/>
          <w:b/>
          <w:bCs/>
          <w:color w:val="2B41B1"/>
          <w:sz w:val="18"/>
          <w:szCs w:val="18"/>
        </w:rPr>
        <w:t>WHY IS IT CHANGING?</w:t>
      </w:r>
    </w:p>
    <w:p w14:paraId="5FACE31B" w14:textId="77777777" w:rsidR="00E27E5D" w:rsidRPr="00591645" w:rsidRDefault="00E27E5D" w:rsidP="00E27E5D">
      <w:pPr>
        <w:ind w:right="-75"/>
        <w:rPr>
          <w:rFonts w:ascii="Helvetica" w:hAnsi="Helvetica"/>
          <w:sz w:val="18"/>
          <w:szCs w:val="18"/>
        </w:rPr>
      </w:pPr>
      <w:r w:rsidRPr="00591645">
        <w:rPr>
          <w:rFonts w:ascii="Helvetica" w:hAnsi="Helvetica"/>
          <w:sz w:val="18"/>
          <w:szCs w:val="18"/>
        </w:rPr>
        <w:t>Generation Life conducts regular reviews of investment managers and investment strategies to determine whether performance of the underlying investment manager and strategy is in line with the stated investment objectives and is meeting investor and Generation Life’s required investment outcomes.</w:t>
      </w:r>
    </w:p>
    <w:p w14:paraId="06917740" w14:textId="7611E4FB" w:rsidR="00E27E5D" w:rsidRPr="00301E8A" w:rsidRDefault="00E27E5D" w:rsidP="00E27E5D">
      <w:pPr>
        <w:ind w:right="-75"/>
        <w:rPr>
          <w:rFonts w:ascii="Helvetica" w:hAnsi="Helvetica"/>
          <w:sz w:val="18"/>
          <w:szCs w:val="18"/>
        </w:rPr>
      </w:pPr>
      <w:r w:rsidRPr="00301E8A">
        <w:rPr>
          <w:rFonts w:ascii="Helvetica" w:hAnsi="Helvetica"/>
          <w:sz w:val="18"/>
          <w:szCs w:val="18"/>
        </w:rPr>
        <w:t xml:space="preserve">As part of their review, Generation Life has determined that a more appropriate investment strategy for the above-mentioned investment option is the </w:t>
      </w:r>
      <w:r w:rsidR="001F6077" w:rsidRPr="00301E8A">
        <w:rPr>
          <w:rFonts w:ascii="Helvetica" w:hAnsi="Helvetica"/>
          <w:sz w:val="18"/>
          <w:szCs w:val="18"/>
        </w:rPr>
        <w:t xml:space="preserve">DNR Capital </w:t>
      </w:r>
      <w:r w:rsidR="009262F6" w:rsidRPr="00301E8A">
        <w:rPr>
          <w:rFonts w:ascii="Helvetica" w:hAnsi="Helvetica"/>
          <w:sz w:val="18"/>
          <w:szCs w:val="18"/>
        </w:rPr>
        <w:t xml:space="preserve">Australian </w:t>
      </w:r>
      <w:r w:rsidR="001F6077" w:rsidRPr="00301E8A">
        <w:rPr>
          <w:rFonts w:ascii="Helvetica" w:hAnsi="Helvetica"/>
          <w:sz w:val="18"/>
          <w:szCs w:val="18"/>
        </w:rPr>
        <w:t>Emerging Companies Portfolio</w:t>
      </w:r>
      <w:r w:rsidRPr="00301E8A">
        <w:rPr>
          <w:rFonts w:ascii="Helvetica" w:hAnsi="Helvetica"/>
          <w:sz w:val="18"/>
          <w:szCs w:val="18"/>
        </w:rPr>
        <w:t xml:space="preserve">. Generation Life believes that the strategy is expected to deliver superior after-tax return outcomes over the long-term through the investment bond structure. </w:t>
      </w:r>
    </w:p>
    <w:p w14:paraId="5A53E172" w14:textId="6E0BB719" w:rsidR="005C5611" w:rsidRPr="00301E8A" w:rsidRDefault="009262F6" w:rsidP="005C561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before="60" w:after="60" w:line="240" w:lineRule="auto"/>
        <w:rPr>
          <w:rFonts w:ascii="Helvetica" w:hAnsi="Helvetica" w:cs="Helvetica"/>
          <w:sz w:val="18"/>
          <w:szCs w:val="18"/>
        </w:rPr>
      </w:pPr>
      <w:r w:rsidRPr="00301E8A">
        <w:rPr>
          <w:rFonts w:ascii="Helvetica" w:hAnsi="Helvetica"/>
          <w:sz w:val="18"/>
          <w:szCs w:val="18"/>
        </w:rPr>
        <w:t xml:space="preserve">Other factors that </w:t>
      </w:r>
      <w:r w:rsidR="005C5611" w:rsidRPr="00301E8A">
        <w:rPr>
          <w:rFonts w:ascii="Helvetica" w:hAnsi="Helvetica"/>
          <w:sz w:val="18"/>
          <w:szCs w:val="18"/>
        </w:rPr>
        <w:t>Generation Life</w:t>
      </w:r>
      <w:r w:rsidR="005C5611" w:rsidRPr="00301E8A">
        <w:rPr>
          <w:rFonts w:ascii="Helvetica" w:hAnsi="Helvetica" w:cs="Helvetica"/>
          <w:sz w:val="18"/>
          <w:szCs w:val="18"/>
        </w:rPr>
        <w:t xml:space="preserve"> </w:t>
      </w:r>
      <w:r w:rsidR="00872C58" w:rsidRPr="00301E8A">
        <w:rPr>
          <w:rFonts w:ascii="Helvetica" w:hAnsi="Helvetica" w:cs="Helvetica"/>
          <w:sz w:val="18"/>
          <w:szCs w:val="18"/>
        </w:rPr>
        <w:t>has</w:t>
      </w:r>
      <w:r w:rsidR="005C5611" w:rsidRPr="00301E8A">
        <w:rPr>
          <w:rFonts w:ascii="Helvetica" w:hAnsi="Helvetica" w:cs="Helvetica"/>
          <w:sz w:val="18"/>
          <w:szCs w:val="18"/>
        </w:rPr>
        <w:t xml:space="preserve"> </w:t>
      </w:r>
      <w:r w:rsidRPr="00301E8A">
        <w:rPr>
          <w:rFonts w:ascii="Helvetica" w:hAnsi="Helvetica" w:cs="Helvetica"/>
          <w:sz w:val="18"/>
          <w:szCs w:val="18"/>
        </w:rPr>
        <w:t>considered in making</w:t>
      </w:r>
      <w:r w:rsidR="005C5611" w:rsidRPr="00301E8A">
        <w:rPr>
          <w:rFonts w:ascii="Helvetica" w:hAnsi="Helvetica" w:cs="Helvetica"/>
          <w:sz w:val="18"/>
          <w:szCs w:val="18"/>
        </w:rPr>
        <w:t xml:space="preserve"> this change includ</w:t>
      </w:r>
      <w:r w:rsidR="00872C58" w:rsidRPr="00301E8A">
        <w:rPr>
          <w:rFonts w:ascii="Helvetica" w:hAnsi="Helvetica" w:cs="Helvetica"/>
          <w:sz w:val="18"/>
          <w:szCs w:val="18"/>
        </w:rPr>
        <w:t>e</w:t>
      </w:r>
      <w:r w:rsidR="005C5611" w:rsidRPr="00301E8A">
        <w:rPr>
          <w:rFonts w:ascii="Helvetica" w:hAnsi="Helvetica" w:cs="Helvetica"/>
          <w:sz w:val="18"/>
          <w:szCs w:val="18"/>
        </w:rPr>
        <w:t>:</w:t>
      </w:r>
    </w:p>
    <w:p w14:paraId="5EFCB278" w14:textId="77777777" w:rsidR="005C5611" w:rsidRPr="00301E8A" w:rsidRDefault="005C5611" w:rsidP="005C561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before="60" w:after="60" w:line="240" w:lineRule="auto"/>
        <w:rPr>
          <w:rFonts w:ascii="Helvetica" w:hAnsi="Helvetica" w:cs="Helvetica"/>
          <w:sz w:val="18"/>
          <w:szCs w:val="18"/>
        </w:rPr>
      </w:pPr>
    </w:p>
    <w:p w14:paraId="1F57A08E" w14:textId="527C236E" w:rsidR="005C5611" w:rsidRPr="00301E8A" w:rsidRDefault="005C5611" w:rsidP="005C5611">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before="60" w:after="60" w:line="240" w:lineRule="auto"/>
        <w:rPr>
          <w:rFonts w:ascii="Helvetica" w:hAnsi="Helvetica" w:cs="Helvetica"/>
          <w:color w:val="252729"/>
          <w:sz w:val="18"/>
          <w:szCs w:val="18"/>
        </w:rPr>
      </w:pPr>
      <w:r w:rsidRPr="00301E8A">
        <w:rPr>
          <w:rFonts w:ascii="Helvetica" w:hAnsi="Helvetica" w:cs="Helvetica"/>
          <w:color w:val="252729"/>
          <w:sz w:val="18"/>
          <w:szCs w:val="18"/>
        </w:rPr>
        <w:t>BlackRock is restructuring its Australian equities business, and as a result the portfolio managers responsible for the investment strategy have departed the organisation.</w:t>
      </w:r>
    </w:p>
    <w:p w14:paraId="7FB71DD5" w14:textId="77777777" w:rsidR="005C5611" w:rsidRPr="00301E8A" w:rsidRDefault="005C5611" w:rsidP="005C5611">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before="60" w:after="60" w:line="240" w:lineRule="auto"/>
        <w:rPr>
          <w:rFonts w:ascii="Helvetica" w:hAnsi="Helvetica" w:cs="Helvetica"/>
          <w:color w:val="252729"/>
          <w:sz w:val="18"/>
          <w:szCs w:val="18"/>
        </w:rPr>
      </w:pPr>
      <w:r w:rsidRPr="00301E8A">
        <w:rPr>
          <w:rFonts w:ascii="Helvetica" w:hAnsi="Helvetica" w:cs="Helvetica"/>
          <w:color w:val="252729"/>
          <w:sz w:val="18"/>
          <w:szCs w:val="18"/>
        </w:rPr>
        <w:t>BlackRock is not seeking to appoint replacement portfolio managers and is seeking to outsource their investment of the strategy to a third party.</w:t>
      </w:r>
    </w:p>
    <w:p w14:paraId="2F0061B3" w14:textId="40FA6157" w:rsidR="005C5611" w:rsidRPr="00301E8A" w:rsidRDefault="005C5611" w:rsidP="005C5611">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before="60" w:after="60" w:line="240" w:lineRule="auto"/>
        <w:rPr>
          <w:rFonts w:ascii="Helvetica" w:hAnsi="Helvetica" w:cs="Helvetica"/>
          <w:color w:val="252729"/>
          <w:sz w:val="18"/>
          <w:szCs w:val="18"/>
        </w:rPr>
      </w:pPr>
      <w:r w:rsidRPr="00301E8A">
        <w:rPr>
          <w:rFonts w:ascii="Helvetica" w:hAnsi="Helvetica" w:cs="Helvetica"/>
          <w:color w:val="252729"/>
          <w:sz w:val="18"/>
          <w:szCs w:val="18"/>
        </w:rPr>
        <w:t>The longer-term historical underperformance of the BlackRock investment strategy.</w:t>
      </w:r>
    </w:p>
    <w:p w14:paraId="60751FFE" w14:textId="77777777" w:rsidR="00872C58" w:rsidRPr="00301E8A" w:rsidRDefault="00872C58" w:rsidP="00872C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before="60" w:after="60" w:line="240" w:lineRule="auto"/>
        <w:rPr>
          <w:rFonts w:ascii="Helvetica" w:hAnsi="Helvetica" w:cs="Helvetica"/>
          <w:sz w:val="18"/>
          <w:szCs w:val="18"/>
        </w:rPr>
      </w:pPr>
    </w:p>
    <w:p w14:paraId="2F1BBE7D" w14:textId="77777777" w:rsidR="00872C58" w:rsidRPr="00301E8A" w:rsidRDefault="00872C58">
      <w:pPr>
        <w:spacing w:after="0" w:line="240" w:lineRule="auto"/>
        <w:rPr>
          <w:rFonts w:ascii="Helvetica" w:hAnsi="Helvetica"/>
          <w:sz w:val="18"/>
          <w:szCs w:val="18"/>
        </w:rPr>
      </w:pPr>
      <w:r w:rsidRPr="00301E8A">
        <w:rPr>
          <w:rFonts w:ascii="Helvetica" w:hAnsi="Helvetica"/>
          <w:sz w:val="18"/>
          <w:szCs w:val="18"/>
        </w:rPr>
        <w:br w:type="page"/>
      </w:r>
    </w:p>
    <w:p w14:paraId="6A2C1FD5" w14:textId="5912918E" w:rsidR="00B538D1"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lastRenderedPageBreak/>
        <w:t>COMPARISON OF STRATEGIES</w:t>
      </w:r>
    </w:p>
    <w:tbl>
      <w:tblPr>
        <w:tblStyle w:val="TableGrid"/>
        <w:tblW w:w="10206" w:type="dxa"/>
        <w:tblBorders>
          <w:top w:val="none" w:sz="0" w:space="0" w:color="auto"/>
          <w:left w:val="none" w:sz="0" w:space="0" w:color="auto"/>
          <w:bottom w:val="none" w:sz="0" w:space="0" w:color="auto"/>
          <w:right w:val="none" w:sz="0" w:space="0" w:color="auto"/>
          <w:insideH w:val="single" w:sz="2" w:space="0" w:color="A3A3A3"/>
          <w:insideV w:val="none" w:sz="0" w:space="0" w:color="auto"/>
        </w:tblBorders>
        <w:tblCellMar>
          <w:top w:w="85" w:type="dxa"/>
          <w:left w:w="0" w:type="dxa"/>
          <w:bottom w:w="85" w:type="dxa"/>
        </w:tblCellMar>
        <w:tblLook w:val="04A0" w:firstRow="1" w:lastRow="0" w:firstColumn="1" w:lastColumn="0" w:noHBand="0" w:noVBand="1"/>
      </w:tblPr>
      <w:tblGrid>
        <w:gridCol w:w="2410"/>
        <w:gridCol w:w="3898"/>
        <w:gridCol w:w="3898"/>
      </w:tblGrid>
      <w:tr w:rsidR="00301E8A" w:rsidRPr="00301E8A" w14:paraId="3D437B3A" w14:textId="77777777" w:rsidTr="002E5240">
        <w:trPr>
          <w:cantSplit/>
          <w:trHeight w:val="308"/>
          <w:tblHeader/>
        </w:trPr>
        <w:tc>
          <w:tcPr>
            <w:tcW w:w="2410" w:type="dxa"/>
          </w:tcPr>
          <w:p w14:paraId="317DF2DF" w14:textId="0E75116D" w:rsidR="001E42FE" w:rsidRPr="00301E8A" w:rsidRDefault="001E42FE" w:rsidP="009479DE">
            <w:pPr>
              <w:pStyle w:val="TableHeading"/>
              <w:spacing w:line="240" w:lineRule="auto"/>
              <w:rPr>
                <w:rFonts w:ascii="Helvetica" w:hAnsi="Helvetica"/>
                <w:b/>
                <w:bCs/>
                <w:color w:val="auto"/>
                <w:sz w:val="18"/>
                <w:szCs w:val="18"/>
              </w:rPr>
            </w:pPr>
          </w:p>
        </w:tc>
        <w:tc>
          <w:tcPr>
            <w:tcW w:w="3898" w:type="dxa"/>
            <w:shd w:val="clear" w:color="auto" w:fill="auto"/>
          </w:tcPr>
          <w:p w14:paraId="47DB3226" w14:textId="7845FA89" w:rsidR="001E42FE" w:rsidRPr="00301E8A" w:rsidRDefault="003D1DDC"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BlackRock High Conviction Australian Equity Fund</w:t>
            </w:r>
            <w:r w:rsidRPr="00301E8A" w:rsidDel="003D1DDC">
              <w:rPr>
                <w:rFonts w:ascii="Helvetica" w:hAnsi="Helvetica" w:cs="Arial"/>
                <w:b/>
                <w:bCs/>
                <w:color w:val="auto"/>
                <w:sz w:val="18"/>
                <w:szCs w:val="18"/>
              </w:rPr>
              <w:t xml:space="preserve"> </w:t>
            </w:r>
            <w:r w:rsidR="001E42FE" w:rsidRPr="00301E8A">
              <w:rPr>
                <w:rFonts w:ascii="Helvetica" w:hAnsi="Helvetica" w:cs="Arial"/>
                <w:b/>
                <w:bCs/>
                <w:color w:val="auto"/>
                <w:sz w:val="18"/>
                <w:szCs w:val="18"/>
              </w:rPr>
              <w:t>(</w:t>
            </w:r>
            <w:r w:rsidRPr="00301E8A">
              <w:rPr>
                <w:rFonts w:ascii="Helvetica" w:hAnsi="Helvetica" w:cs="Arial"/>
                <w:b/>
                <w:bCs/>
                <w:color w:val="auto"/>
                <w:sz w:val="18"/>
                <w:szCs w:val="18"/>
              </w:rPr>
              <w:t>OLD</w:t>
            </w:r>
            <w:r w:rsidR="001E42FE" w:rsidRPr="00301E8A">
              <w:rPr>
                <w:rFonts w:ascii="Helvetica" w:hAnsi="Helvetica" w:cs="Arial"/>
                <w:b/>
                <w:bCs/>
                <w:color w:val="auto"/>
                <w:sz w:val="18"/>
                <w:szCs w:val="18"/>
              </w:rPr>
              <w:t>)</w:t>
            </w:r>
          </w:p>
        </w:tc>
        <w:tc>
          <w:tcPr>
            <w:tcW w:w="3898" w:type="dxa"/>
            <w:shd w:val="clear" w:color="auto" w:fill="auto"/>
          </w:tcPr>
          <w:p w14:paraId="3F1FAD2D" w14:textId="5F5BA5E5" w:rsidR="001E42FE" w:rsidRPr="00301E8A" w:rsidRDefault="00EA485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DNR Capital Australian Emerging Companies Portfolio</w:t>
            </w:r>
            <w:r w:rsidRPr="00301E8A" w:rsidDel="00EA485E">
              <w:rPr>
                <w:rFonts w:ascii="Helvetica" w:hAnsi="Helvetica" w:cs="Arial"/>
                <w:b/>
                <w:bCs/>
                <w:color w:val="auto"/>
                <w:sz w:val="18"/>
                <w:szCs w:val="18"/>
              </w:rPr>
              <w:t xml:space="preserve"> </w:t>
            </w:r>
            <w:r w:rsidR="001E42FE" w:rsidRPr="00301E8A">
              <w:rPr>
                <w:rFonts w:ascii="Helvetica" w:hAnsi="Helvetica" w:cs="Arial"/>
                <w:b/>
                <w:bCs/>
                <w:color w:val="auto"/>
                <w:sz w:val="18"/>
                <w:szCs w:val="18"/>
              </w:rPr>
              <w:t>(NEW)</w:t>
            </w:r>
          </w:p>
        </w:tc>
      </w:tr>
      <w:tr w:rsidR="003A00AF" w:rsidRPr="00793596" w14:paraId="10AD6584" w14:textId="77777777" w:rsidTr="002E5240">
        <w:trPr>
          <w:cantSplit/>
          <w:trHeight w:val="308"/>
        </w:trPr>
        <w:tc>
          <w:tcPr>
            <w:tcW w:w="2410" w:type="dxa"/>
          </w:tcPr>
          <w:p w14:paraId="13430C18" w14:textId="54935463"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Underlying strategy APIR code</w:t>
            </w:r>
          </w:p>
        </w:tc>
        <w:tc>
          <w:tcPr>
            <w:tcW w:w="3898" w:type="dxa"/>
            <w:shd w:val="clear" w:color="auto" w:fill="auto"/>
          </w:tcPr>
          <w:p w14:paraId="0E33B396" w14:textId="0DA8A5E5" w:rsidR="003A00AF" w:rsidRPr="00591645" w:rsidRDefault="00CB1408" w:rsidP="009479DE">
            <w:pPr>
              <w:pStyle w:val="TableHeading2"/>
              <w:spacing w:line="240" w:lineRule="auto"/>
              <w:rPr>
                <w:rFonts w:ascii="Helvetica" w:hAnsi="Helvetica" w:cs="Arial"/>
                <w:sz w:val="18"/>
                <w:szCs w:val="18"/>
              </w:rPr>
            </w:pPr>
            <w:r w:rsidRPr="00591645">
              <w:rPr>
                <w:rFonts w:ascii="Helvetica" w:hAnsi="Helvetica" w:cs="Arial"/>
                <w:sz w:val="18"/>
                <w:szCs w:val="18"/>
              </w:rPr>
              <w:t>BLK0012AU</w:t>
            </w:r>
          </w:p>
        </w:tc>
        <w:tc>
          <w:tcPr>
            <w:tcW w:w="3898" w:type="dxa"/>
            <w:shd w:val="clear" w:color="auto" w:fill="auto"/>
          </w:tcPr>
          <w:p w14:paraId="707D442D" w14:textId="3BF9D472" w:rsidR="003A00AF" w:rsidRPr="00591645" w:rsidRDefault="00EA485E" w:rsidP="009479DE">
            <w:pPr>
              <w:pStyle w:val="TableHeading2"/>
              <w:spacing w:line="240" w:lineRule="auto"/>
              <w:rPr>
                <w:rFonts w:ascii="Helvetica" w:hAnsi="Helvetica" w:cs="Arial"/>
                <w:sz w:val="18"/>
                <w:szCs w:val="18"/>
              </w:rPr>
            </w:pPr>
            <w:r w:rsidRPr="00591645">
              <w:rPr>
                <w:rFonts w:ascii="Helvetica" w:hAnsi="Helvetica" w:cs="Arial"/>
                <w:sz w:val="18"/>
                <w:szCs w:val="18"/>
              </w:rPr>
              <w:t>PIM4357AU</w:t>
            </w:r>
          </w:p>
        </w:tc>
      </w:tr>
      <w:tr w:rsidR="001E42FE" w:rsidRPr="00793596" w14:paraId="7D1EC254" w14:textId="77777777" w:rsidTr="002E5240">
        <w:trPr>
          <w:cantSplit/>
          <w:trHeight w:val="308"/>
        </w:trPr>
        <w:tc>
          <w:tcPr>
            <w:tcW w:w="2410" w:type="dxa"/>
          </w:tcPr>
          <w:p w14:paraId="60DB3EC7" w14:textId="6EAE048B" w:rsidR="001E42FE" w:rsidRPr="00301E8A" w:rsidRDefault="001E42F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Sector</w:t>
            </w:r>
          </w:p>
        </w:tc>
        <w:tc>
          <w:tcPr>
            <w:tcW w:w="3898" w:type="dxa"/>
            <w:shd w:val="clear" w:color="auto" w:fill="auto"/>
          </w:tcPr>
          <w:p w14:paraId="560448E9" w14:textId="539342D5" w:rsidR="001E42FE" w:rsidRPr="00591645" w:rsidRDefault="001E42FE" w:rsidP="009479DE">
            <w:pPr>
              <w:pStyle w:val="TableHeading2"/>
              <w:spacing w:line="240" w:lineRule="auto"/>
              <w:rPr>
                <w:rFonts w:ascii="Helvetica" w:hAnsi="Helvetica"/>
                <w:sz w:val="18"/>
                <w:szCs w:val="18"/>
              </w:rPr>
            </w:pPr>
            <w:r w:rsidRPr="00591645">
              <w:rPr>
                <w:rFonts w:ascii="Helvetica" w:hAnsi="Helvetica" w:cs="Arial"/>
                <w:sz w:val="18"/>
                <w:szCs w:val="18"/>
              </w:rPr>
              <w:t>Australian shares</w:t>
            </w:r>
          </w:p>
        </w:tc>
        <w:tc>
          <w:tcPr>
            <w:tcW w:w="3898" w:type="dxa"/>
            <w:shd w:val="clear" w:color="auto" w:fill="auto"/>
          </w:tcPr>
          <w:p w14:paraId="7D6DECB4" w14:textId="32F2A400" w:rsidR="001E42FE" w:rsidRPr="00591645" w:rsidRDefault="00EA485E" w:rsidP="009479DE">
            <w:pPr>
              <w:pStyle w:val="TableHeading2"/>
              <w:spacing w:line="240" w:lineRule="auto"/>
              <w:rPr>
                <w:rFonts w:ascii="Helvetica" w:hAnsi="Helvetica"/>
                <w:sz w:val="18"/>
                <w:szCs w:val="18"/>
              </w:rPr>
            </w:pPr>
            <w:r w:rsidRPr="00591645">
              <w:rPr>
                <w:rFonts w:ascii="Helvetica" w:hAnsi="Helvetica"/>
                <w:sz w:val="18"/>
                <w:szCs w:val="18"/>
              </w:rPr>
              <w:t>Australian shares</w:t>
            </w:r>
            <w:r w:rsidR="00872C58" w:rsidRPr="00591645">
              <w:rPr>
                <w:rFonts w:ascii="Helvetica" w:hAnsi="Helvetica"/>
                <w:sz w:val="18"/>
                <w:szCs w:val="18"/>
              </w:rPr>
              <w:t xml:space="preserve"> – small companies</w:t>
            </w:r>
          </w:p>
        </w:tc>
      </w:tr>
      <w:tr w:rsidR="001E42FE" w:rsidRPr="00793596" w14:paraId="38D8769D" w14:textId="77777777" w:rsidTr="002E5240">
        <w:trPr>
          <w:cantSplit/>
          <w:trHeight w:val="308"/>
        </w:trPr>
        <w:tc>
          <w:tcPr>
            <w:tcW w:w="2410" w:type="dxa"/>
          </w:tcPr>
          <w:p w14:paraId="201203FB" w14:textId="54377289" w:rsidR="001E42FE" w:rsidRPr="00301E8A" w:rsidRDefault="001E42F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Investment manager</w:t>
            </w:r>
          </w:p>
        </w:tc>
        <w:tc>
          <w:tcPr>
            <w:tcW w:w="3898" w:type="dxa"/>
            <w:shd w:val="clear" w:color="auto" w:fill="auto"/>
          </w:tcPr>
          <w:p w14:paraId="6E2F8A93" w14:textId="375691D5" w:rsidR="001E42FE" w:rsidRPr="00591645" w:rsidRDefault="0020627E" w:rsidP="009479DE">
            <w:pPr>
              <w:pStyle w:val="TableHeading2"/>
              <w:spacing w:line="240" w:lineRule="auto"/>
              <w:rPr>
                <w:rFonts w:ascii="Helvetica" w:hAnsi="Helvetica"/>
                <w:sz w:val="18"/>
                <w:szCs w:val="18"/>
              </w:rPr>
            </w:pPr>
            <w:r w:rsidRPr="00591645">
              <w:rPr>
                <w:rFonts w:ascii="Helvetica" w:hAnsi="Helvetica" w:cs="Arial"/>
                <w:sz w:val="18"/>
                <w:szCs w:val="18"/>
              </w:rPr>
              <w:t>BlackRock Investment Management (Australia) Limited</w:t>
            </w:r>
          </w:p>
        </w:tc>
        <w:tc>
          <w:tcPr>
            <w:tcW w:w="3898" w:type="dxa"/>
            <w:shd w:val="clear" w:color="auto" w:fill="auto"/>
          </w:tcPr>
          <w:p w14:paraId="30E413CD" w14:textId="59F81BA8" w:rsidR="001E42FE" w:rsidRPr="00591645" w:rsidRDefault="00EA485E" w:rsidP="009479DE">
            <w:pPr>
              <w:pStyle w:val="TableHeading2"/>
              <w:spacing w:line="240" w:lineRule="auto"/>
              <w:rPr>
                <w:rFonts w:ascii="Helvetica" w:hAnsi="Helvetica"/>
                <w:sz w:val="18"/>
                <w:szCs w:val="18"/>
              </w:rPr>
            </w:pPr>
            <w:r w:rsidRPr="00591645">
              <w:rPr>
                <w:rFonts w:ascii="Helvetica" w:eastAsia="Times New Roman" w:hAnsi="Helvetica" w:cs="Helvetica"/>
                <w:color w:val="4C4D4F"/>
                <w:sz w:val="18"/>
                <w:szCs w:val="18"/>
              </w:rPr>
              <w:t>DNR Capital</w:t>
            </w:r>
          </w:p>
        </w:tc>
      </w:tr>
      <w:tr w:rsidR="001E42FE" w:rsidRPr="00793596" w14:paraId="05403FBB" w14:textId="77777777" w:rsidTr="002E5240">
        <w:trPr>
          <w:cantSplit/>
          <w:trHeight w:val="308"/>
        </w:trPr>
        <w:tc>
          <w:tcPr>
            <w:tcW w:w="2410" w:type="dxa"/>
          </w:tcPr>
          <w:p w14:paraId="634B4863" w14:textId="0A736DC8" w:rsidR="001E42FE" w:rsidRPr="00301E8A" w:rsidRDefault="001E42F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Objective</w:t>
            </w:r>
          </w:p>
        </w:tc>
        <w:tc>
          <w:tcPr>
            <w:tcW w:w="3898" w:type="dxa"/>
            <w:shd w:val="clear" w:color="auto" w:fill="auto"/>
          </w:tcPr>
          <w:p w14:paraId="5A24F89F" w14:textId="4389A384" w:rsidR="001E42FE" w:rsidRPr="00591645" w:rsidRDefault="0020627E" w:rsidP="009479DE">
            <w:pPr>
              <w:pStyle w:val="TableHeading2"/>
              <w:spacing w:line="240" w:lineRule="auto"/>
              <w:rPr>
                <w:rFonts w:ascii="Helvetica" w:hAnsi="Helvetica"/>
                <w:sz w:val="18"/>
                <w:szCs w:val="18"/>
              </w:rPr>
            </w:pPr>
            <w:r w:rsidRPr="00591645">
              <w:rPr>
                <w:rFonts w:ascii="Helvetica" w:hAnsi="Helvetica" w:cs="Arial"/>
                <w:sz w:val="18"/>
                <w:szCs w:val="18"/>
              </w:rPr>
              <w:t>Aims to deliver returns that are 4-6% p.a. (before fees and taxes) above those of the S&amp;P/ASX 300 Industrials Accumulation Index ex top 5 stocks by market capitalisation over rolling 3-year periods.</w:t>
            </w:r>
          </w:p>
        </w:tc>
        <w:tc>
          <w:tcPr>
            <w:tcW w:w="3898" w:type="dxa"/>
            <w:shd w:val="clear" w:color="auto" w:fill="auto"/>
          </w:tcPr>
          <w:p w14:paraId="5762D2DD" w14:textId="0E3C6A05" w:rsidR="001E42FE" w:rsidRPr="00591645" w:rsidRDefault="00EA485E" w:rsidP="009479DE">
            <w:pPr>
              <w:pStyle w:val="TableHeading2"/>
              <w:spacing w:line="240" w:lineRule="auto"/>
              <w:rPr>
                <w:rFonts w:ascii="Helvetica" w:hAnsi="Helvetica" w:cs="Helvetica"/>
                <w:sz w:val="18"/>
                <w:szCs w:val="18"/>
              </w:rPr>
            </w:pPr>
            <w:r w:rsidRPr="00591645">
              <w:rPr>
                <w:rFonts w:ascii="Helvetica" w:eastAsia="Times New Roman" w:hAnsi="Helvetica" w:cs="Helvetica"/>
                <w:color w:val="4C4D4F"/>
                <w:sz w:val="18"/>
                <w:szCs w:val="18"/>
              </w:rPr>
              <w:t>Aims to deliver returns (before fees and taxes) above those of the S&amp;P/ASX Small Ordinaries Total Return Index over rolling 5-year periods by investing in a portfolio of Australian emerging companies.</w:t>
            </w:r>
          </w:p>
        </w:tc>
      </w:tr>
      <w:tr w:rsidR="001E42FE" w:rsidRPr="00793596" w14:paraId="444A3F04" w14:textId="77777777" w:rsidTr="002E5240">
        <w:trPr>
          <w:cantSplit/>
          <w:trHeight w:val="308"/>
        </w:trPr>
        <w:tc>
          <w:tcPr>
            <w:tcW w:w="2410" w:type="dxa"/>
          </w:tcPr>
          <w:p w14:paraId="0CD99B70" w14:textId="10C91D48" w:rsidR="001E42FE" w:rsidRPr="00301E8A" w:rsidRDefault="001E42F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Investment approach</w:t>
            </w:r>
          </w:p>
        </w:tc>
        <w:tc>
          <w:tcPr>
            <w:tcW w:w="3898" w:type="dxa"/>
            <w:shd w:val="clear" w:color="auto" w:fill="auto"/>
          </w:tcPr>
          <w:p w14:paraId="132CDB80" w14:textId="0519830C" w:rsidR="001E42FE" w:rsidRPr="00591645" w:rsidRDefault="0020627E" w:rsidP="009479DE">
            <w:pPr>
              <w:pStyle w:val="TableHeading2"/>
              <w:spacing w:line="240" w:lineRule="auto"/>
              <w:rPr>
                <w:rFonts w:ascii="Helvetica" w:hAnsi="Helvetica"/>
                <w:sz w:val="18"/>
                <w:szCs w:val="18"/>
              </w:rPr>
            </w:pPr>
            <w:r w:rsidRPr="00591645">
              <w:rPr>
                <w:rFonts w:ascii="Helvetica" w:hAnsi="Helvetica" w:cs="Arial"/>
                <w:sz w:val="18"/>
                <w:szCs w:val="18"/>
              </w:rPr>
              <w:t>The manager applies a fundamental approach that is focused on bottom-up analysis, where detailed research is conducted prior to any investment decision. It will invest in a concentrated portfolio of industrial shares generally excluding the top five shares by market capitalisation and resources shares. The fund will also generally not invest in any company that does not first pass the manager’s five quality filters at the core of the investment process. The fund focuses on stocks with attractive growth and value characteristics. The manager uses its experience to build a concentrated portfolio of 20-40 stocks that have a balance of risk across all sectors.</w:t>
            </w:r>
          </w:p>
        </w:tc>
        <w:tc>
          <w:tcPr>
            <w:tcW w:w="3898" w:type="dxa"/>
            <w:shd w:val="clear" w:color="auto" w:fill="auto"/>
          </w:tcPr>
          <w:p w14:paraId="3AED7FBD" w14:textId="780C4E5A" w:rsidR="001E42FE" w:rsidRPr="00591645" w:rsidRDefault="00EA485E" w:rsidP="009479DE">
            <w:pPr>
              <w:pStyle w:val="TableHeading2"/>
              <w:spacing w:line="240" w:lineRule="auto"/>
              <w:rPr>
                <w:rFonts w:ascii="Helvetica" w:hAnsi="Helvetica" w:cs="Helvetica"/>
                <w:sz w:val="18"/>
                <w:szCs w:val="18"/>
              </w:rPr>
            </w:pPr>
            <w:r w:rsidRPr="00591645">
              <w:rPr>
                <w:rFonts w:ascii="Helvetica" w:eastAsia="Times New Roman" w:hAnsi="Helvetica" w:cs="Helvetica"/>
                <w:color w:val="4C4D4F"/>
                <w:sz w:val="18"/>
                <w:szCs w:val="18"/>
              </w:rPr>
              <w:t>The manager seeks to identify good quality emerging businesses that are mispriced by overlaying its quality filter, referred to as the ‘quality web’, with a strong valuation discipline. The manager’s security selection process has a strong bottom-up discipline and focuses on buying quality emerging businesses at reasonable prices. The portfolio construction process considers stock weightings based on the risk versus the expected return. It is also influenced by a top-down economic appraisal, sector exposures and liquidity considerations. The manager’s investment approach is intended to result in a concentrated portfolio that is high conviction and invests for the medium to long-term. The fund does not use derivatives and does not intend to borrow.</w:t>
            </w:r>
          </w:p>
        </w:tc>
      </w:tr>
      <w:tr w:rsidR="003A00AF" w:rsidRPr="00793596" w14:paraId="68ED052A" w14:textId="77777777" w:rsidTr="002E5240">
        <w:trPr>
          <w:cantSplit/>
          <w:trHeight w:val="308"/>
        </w:trPr>
        <w:tc>
          <w:tcPr>
            <w:tcW w:w="2410" w:type="dxa"/>
          </w:tcPr>
          <w:p w14:paraId="0DD9A6B2" w14:textId="5B5E96B9"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Investment style</w:t>
            </w:r>
          </w:p>
        </w:tc>
        <w:tc>
          <w:tcPr>
            <w:tcW w:w="3898" w:type="dxa"/>
            <w:shd w:val="clear" w:color="auto" w:fill="auto"/>
          </w:tcPr>
          <w:p w14:paraId="71DCB255" w14:textId="06560480" w:rsidR="003A00AF"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Active, core, style neutral</w:t>
            </w:r>
          </w:p>
        </w:tc>
        <w:tc>
          <w:tcPr>
            <w:tcW w:w="3898" w:type="dxa"/>
            <w:shd w:val="clear" w:color="auto" w:fill="auto"/>
          </w:tcPr>
          <w:p w14:paraId="3AB26582" w14:textId="6BCDE80D" w:rsidR="003A00AF" w:rsidRPr="00591645" w:rsidRDefault="00EA485E"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Active, </w:t>
            </w:r>
            <w:r w:rsidR="0031338F" w:rsidRPr="00591645">
              <w:rPr>
                <w:rFonts w:ascii="Helvetica" w:hAnsi="Helvetica" w:cs="Arial"/>
                <w:sz w:val="18"/>
                <w:szCs w:val="18"/>
              </w:rPr>
              <w:t>smaller companies, style neutral</w:t>
            </w:r>
          </w:p>
        </w:tc>
      </w:tr>
      <w:tr w:rsidR="003A00AF" w:rsidRPr="00793596" w14:paraId="5704D0B9" w14:textId="77777777" w:rsidTr="002E5240">
        <w:trPr>
          <w:cantSplit/>
          <w:trHeight w:val="308"/>
        </w:trPr>
        <w:tc>
          <w:tcPr>
            <w:tcW w:w="2410" w:type="dxa"/>
          </w:tcPr>
          <w:p w14:paraId="3A5D0126" w14:textId="1A3D56ED"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Investment guidelines</w:t>
            </w:r>
          </w:p>
        </w:tc>
        <w:tc>
          <w:tcPr>
            <w:tcW w:w="3898" w:type="dxa"/>
            <w:shd w:val="clear" w:color="auto" w:fill="auto"/>
          </w:tcPr>
          <w:p w14:paraId="3CA7B22E" w14:textId="77777777" w:rsidR="0020627E" w:rsidRPr="00591645" w:rsidRDefault="0020627E" w:rsidP="0020627E">
            <w:pPr>
              <w:spacing w:line="240" w:lineRule="auto"/>
              <w:rPr>
                <w:rFonts w:ascii="Helvetica" w:hAnsi="Helvetica" w:cs="Arial"/>
                <w:sz w:val="18"/>
                <w:szCs w:val="18"/>
              </w:rPr>
            </w:pPr>
            <w:r w:rsidRPr="00591645">
              <w:rPr>
                <w:rFonts w:ascii="Helvetica" w:hAnsi="Helvetica" w:cs="Arial"/>
                <w:sz w:val="18"/>
                <w:szCs w:val="18"/>
              </w:rPr>
              <w:t>Cash (or cash equivalents) 0-10%</w:t>
            </w:r>
          </w:p>
          <w:p w14:paraId="1D01EBDE" w14:textId="563785AF" w:rsidR="003A00AF"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Australian shares 90-100%</w:t>
            </w:r>
          </w:p>
        </w:tc>
        <w:tc>
          <w:tcPr>
            <w:tcW w:w="3898" w:type="dxa"/>
            <w:shd w:val="clear" w:color="auto" w:fill="auto"/>
          </w:tcPr>
          <w:p w14:paraId="3BF82374" w14:textId="77777777" w:rsidR="00EA485E" w:rsidRPr="00591645" w:rsidRDefault="00EA485E" w:rsidP="00EA485E">
            <w:pPr>
              <w:spacing w:before="14"/>
              <w:ind w:right="192"/>
              <w:rPr>
                <w:rFonts w:ascii="Helvetica" w:eastAsia="Times New Roman" w:hAnsi="Helvetica" w:cs="Helvetica"/>
                <w:color w:val="4C4D4F"/>
                <w:sz w:val="18"/>
                <w:szCs w:val="18"/>
              </w:rPr>
            </w:pPr>
            <w:r w:rsidRPr="00591645">
              <w:rPr>
                <w:rFonts w:ascii="Helvetica" w:eastAsia="Times New Roman" w:hAnsi="Helvetica" w:cs="Helvetica"/>
                <w:color w:val="4C4D4F"/>
                <w:sz w:val="18"/>
                <w:szCs w:val="18"/>
              </w:rPr>
              <w:t>Cash 0-20%</w:t>
            </w:r>
          </w:p>
          <w:p w14:paraId="6DC26E0D" w14:textId="3974F514" w:rsidR="003A00AF" w:rsidRPr="00591645" w:rsidRDefault="00EA485E" w:rsidP="00EA485E">
            <w:pPr>
              <w:pStyle w:val="TableHeading2"/>
              <w:spacing w:line="240" w:lineRule="auto"/>
              <w:rPr>
                <w:rFonts w:ascii="Helvetica" w:hAnsi="Helvetica" w:cs="Arial"/>
                <w:sz w:val="18"/>
                <w:szCs w:val="18"/>
              </w:rPr>
            </w:pPr>
            <w:r w:rsidRPr="00591645">
              <w:rPr>
                <w:rFonts w:ascii="Helvetica" w:eastAsia="Times New Roman" w:hAnsi="Helvetica" w:cs="Helvetica"/>
                <w:color w:val="4C4D4F"/>
                <w:sz w:val="18"/>
                <w:szCs w:val="18"/>
              </w:rPr>
              <w:t>Australian shares 80-100%</w:t>
            </w:r>
          </w:p>
        </w:tc>
      </w:tr>
      <w:tr w:rsidR="003A00AF" w:rsidRPr="00793596" w14:paraId="4532EC6C" w14:textId="77777777" w:rsidTr="002E5240">
        <w:trPr>
          <w:cantSplit/>
          <w:trHeight w:val="308"/>
        </w:trPr>
        <w:tc>
          <w:tcPr>
            <w:tcW w:w="2410" w:type="dxa"/>
          </w:tcPr>
          <w:p w14:paraId="37C523AF" w14:textId="77777777" w:rsidR="003A00AF" w:rsidRPr="00301E8A" w:rsidRDefault="003A00AF" w:rsidP="009479DE">
            <w:pPr>
              <w:pStyle w:val="BodyText"/>
              <w:spacing w:before="0" w:line="240" w:lineRule="auto"/>
              <w:ind w:left="0" w:right="0"/>
              <w:rPr>
                <w:rFonts w:ascii="Helvetica" w:hAnsi="Helvetica" w:cs="Arial"/>
                <w:b/>
                <w:bCs/>
                <w:color w:val="auto"/>
              </w:rPr>
            </w:pPr>
            <w:r w:rsidRPr="00301E8A">
              <w:rPr>
                <w:rFonts w:ascii="Helvetica" w:hAnsi="Helvetica" w:cs="Arial"/>
                <w:b/>
                <w:bCs/>
                <w:color w:val="auto"/>
              </w:rPr>
              <w:t>Asset allocation</w:t>
            </w:r>
          </w:p>
          <w:p w14:paraId="1443D6BF" w14:textId="38632F55"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w:t>
            </w:r>
            <w:r w:rsidR="00A312AC" w:rsidRPr="00301E8A">
              <w:rPr>
                <w:rFonts w:ascii="Helvetica" w:hAnsi="Helvetica" w:cs="Arial"/>
                <w:b/>
                <w:bCs/>
                <w:color w:val="auto"/>
                <w:sz w:val="18"/>
                <w:szCs w:val="18"/>
              </w:rPr>
              <w:t>31 December 2022</w:t>
            </w:r>
            <w:r w:rsidRPr="00301E8A">
              <w:rPr>
                <w:rFonts w:ascii="Helvetica" w:hAnsi="Helvetica" w:cs="Arial"/>
                <w:b/>
                <w:bCs/>
                <w:color w:val="auto"/>
                <w:sz w:val="18"/>
                <w:szCs w:val="18"/>
              </w:rPr>
              <w:t>)</w:t>
            </w:r>
          </w:p>
        </w:tc>
        <w:tc>
          <w:tcPr>
            <w:tcW w:w="3898" w:type="dxa"/>
            <w:shd w:val="clear" w:color="auto" w:fill="auto"/>
          </w:tcPr>
          <w:p w14:paraId="5B6EEC5D" w14:textId="1E49D13A" w:rsidR="0020627E" w:rsidRPr="00591645" w:rsidRDefault="0020627E" w:rsidP="0020627E">
            <w:pPr>
              <w:spacing w:line="240" w:lineRule="auto"/>
              <w:rPr>
                <w:rFonts w:ascii="Helvetica" w:hAnsi="Helvetica" w:cs="Arial"/>
                <w:sz w:val="18"/>
                <w:szCs w:val="18"/>
              </w:rPr>
            </w:pPr>
            <w:r w:rsidRPr="00591645">
              <w:rPr>
                <w:rFonts w:ascii="Helvetica" w:hAnsi="Helvetica" w:cs="Arial"/>
                <w:sz w:val="18"/>
                <w:szCs w:val="18"/>
              </w:rPr>
              <w:t xml:space="preserve">Cash (or cash equivalents) </w:t>
            </w:r>
            <w:r w:rsidR="00D03FB7" w:rsidRPr="00591645">
              <w:rPr>
                <w:rFonts w:ascii="Helvetica" w:hAnsi="Helvetica" w:cs="Arial"/>
                <w:sz w:val="18"/>
                <w:szCs w:val="18"/>
              </w:rPr>
              <w:t>10.1</w:t>
            </w:r>
            <w:r w:rsidRPr="00591645">
              <w:rPr>
                <w:rFonts w:ascii="Helvetica" w:hAnsi="Helvetica" w:cs="Arial"/>
                <w:sz w:val="18"/>
                <w:szCs w:val="18"/>
              </w:rPr>
              <w:t xml:space="preserve">% </w:t>
            </w:r>
          </w:p>
          <w:p w14:paraId="09920D6B" w14:textId="10EC65B4" w:rsidR="003A00AF"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Australian shares </w:t>
            </w:r>
            <w:r w:rsidR="00D03FB7" w:rsidRPr="00591645">
              <w:rPr>
                <w:rFonts w:ascii="Helvetica" w:hAnsi="Helvetica" w:cs="Arial"/>
                <w:sz w:val="18"/>
                <w:szCs w:val="18"/>
              </w:rPr>
              <w:t>89.9</w:t>
            </w:r>
            <w:r w:rsidRPr="00591645">
              <w:rPr>
                <w:rFonts w:ascii="Helvetica" w:hAnsi="Helvetica" w:cs="Arial"/>
                <w:sz w:val="18"/>
                <w:szCs w:val="18"/>
              </w:rPr>
              <w:t>%</w:t>
            </w:r>
          </w:p>
        </w:tc>
        <w:tc>
          <w:tcPr>
            <w:tcW w:w="3898" w:type="dxa"/>
            <w:shd w:val="clear" w:color="auto" w:fill="auto"/>
          </w:tcPr>
          <w:p w14:paraId="453F0EBD" w14:textId="580676BE" w:rsidR="00EA485E" w:rsidRPr="00591645" w:rsidRDefault="00EA485E" w:rsidP="00EA485E">
            <w:pPr>
              <w:spacing w:line="240" w:lineRule="auto"/>
              <w:rPr>
                <w:rFonts w:ascii="Helvetica" w:hAnsi="Helvetica" w:cs="Arial"/>
                <w:sz w:val="18"/>
                <w:szCs w:val="18"/>
              </w:rPr>
            </w:pPr>
            <w:r w:rsidRPr="00591645">
              <w:rPr>
                <w:rFonts w:ascii="Helvetica" w:hAnsi="Helvetica" w:cs="Arial"/>
                <w:sz w:val="18"/>
                <w:szCs w:val="18"/>
              </w:rPr>
              <w:t xml:space="preserve">Cash 19.5% </w:t>
            </w:r>
          </w:p>
          <w:p w14:paraId="431985E8" w14:textId="57E1B07A" w:rsidR="003A00AF" w:rsidRPr="00591645" w:rsidRDefault="00EA485E" w:rsidP="00EA485E">
            <w:pPr>
              <w:pStyle w:val="TableHeading2"/>
              <w:spacing w:line="240" w:lineRule="auto"/>
              <w:rPr>
                <w:rFonts w:ascii="Helvetica" w:hAnsi="Helvetica" w:cs="Arial"/>
                <w:sz w:val="18"/>
                <w:szCs w:val="18"/>
              </w:rPr>
            </w:pPr>
            <w:r w:rsidRPr="00591645">
              <w:rPr>
                <w:rFonts w:ascii="Helvetica" w:hAnsi="Helvetica" w:cs="Arial"/>
                <w:sz w:val="18"/>
                <w:szCs w:val="18"/>
              </w:rPr>
              <w:t>Australian shares 80.5%</w:t>
            </w:r>
          </w:p>
        </w:tc>
      </w:tr>
      <w:tr w:rsidR="003A00AF" w:rsidRPr="00793596" w14:paraId="37340AB8" w14:textId="77777777" w:rsidTr="002E5240">
        <w:trPr>
          <w:cantSplit/>
          <w:trHeight w:val="308"/>
        </w:trPr>
        <w:tc>
          <w:tcPr>
            <w:tcW w:w="2410" w:type="dxa"/>
          </w:tcPr>
          <w:p w14:paraId="09E0B6BA" w14:textId="5A52CECC"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Risk level</w:t>
            </w:r>
            <w:r w:rsidR="0003769B" w:rsidRPr="00301E8A">
              <w:rPr>
                <w:rStyle w:val="FootnoteReference"/>
                <w:rFonts w:ascii="Helvetica" w:hAnsi="Helvetica" w:cs="Arial"/>
                <w:b/>
                <w:bCs/>
                <w:color w:val="auto"/>
                <w:sz w:val="18"/>
                <w:szCs w:val="18"/>
              </w:rPr>
              <w:footnoteReference w:id="1"/>
            </w:r>
          </w:p>
        </w:tc>
        <w:tc>
          <w:tcPr>
            <w:tcW w:w="3898" w:type="dxa"/>
            <w:shd w:val="clear" w:color="auto" w:fill="auto"/>
          </w:tcPr>
          <w:p w14:paraId="0CCEB013" w14:textId="23E51115" w:rsidR="003A00AF" w:rsidRPr="00591645" w:rsidRDefault="003A00AF" w:rsidP="009479DE">
            <w:pPr>
              <w:pStyle w:val="TableHeading2"/>
              <w:spacing w:line="240" w:lineRule="auto"/>
              <w:rPr>
                <w:rFonts w:ascii="Helvetica" w:hAnsi="Helvetica" w:cs="Arial"/>
                <w:sz w:val="18"/>
                <w:szCs w:val="18"/>
              </w:rPr>
            </w:pPr>
            <w:r w:rsidRPr="00591645">
              <w:rPr>
                <w:rFonts w:ascii="Helvetica" w:hAnsi="Helvetica" w:cs="Arial"/>
                <w:sz w:val="18"/>
                <w:szCs w:val="18"/>
              </w:rPr>
              <w:t>6 – High</w:t>
            </w:r>
          </w:p>
        </w:tc>
        <w:tc>
          <w:tcPr>
            <w:tcW w:w="3898" w:type="dxa"/>
            <w:shd w:val="clear" w:color="auto" w:fill="auto"/>
          </w:tcPr>
          <w:p w14:paraId="70458CB6" w14:textId="2779E966"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6 – High</w:t>
            </w:r>
          </w:p>
        </w:tc>
      </w:tr>
      <w:tr w:rsidR="003A00AF" w:rsidRPr="00793596" w14:paraId="6684855A" w14:textId="77777777" w:rsidTr="002E5240">
        <w:trPr>
          <w:cantSplit/>
          <w:trHeight w:val="308"/>
        </w:trPr>
        <w:tc>
          <w:tcPr>
            <w:tcW w:w="2410" w:type="dxa"/>
          </w:tcPr>
          <w:p w14:paraId="270A5069" w14:textId="4AD0ED88"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Suggested minimum length of investment</w:t>
            </w:r>
          </w:p>
        </w:tc>
        <w:tc>
          <w:tcPr>
            <w:tcW w:w="3898" w:type="dxa"/>
            <w:shd w:val="clear" w:color="auto" w:fill="auto"/>
          </w:tcPr>
          <w:p w14:paraId="51BB9F64" w14:textId="4C3568B3" w:rsidR="003A00AF" w:rsidRPr="00591645" w:rsidRDefault="003A00AF" w:rsidP="009479DE">
            <w:pPr>
              <w:pStyle w:val="TableHeading2"/>
              <w:spacing w:line="240" w:lineRule="auto"/>
              <w:rPr>
                <w:rFonts w:ascii="Helvetica" w:hAnsi="Helvetica" w:cs="Arial"/>
                <w:sz w:val="18"/>
                <w:szCs w:val="18"/>
              </w:rPr>
            </w:pPr>
            <w:r w:rsidRPr="00591645">
              <w:rPr>
                <w:rFonts w:ascii="Helvetica" w:hAnsi="Helvetica" w:cs="Arial"/>
                <w:sz w:val="18"/>
                <w:szCs w:val="18"/>
              </w:rPr>
              <w:t>5 years</w:t>
            </w:r>
          </w:p>
        </w:tc>
        <w:tc>
          <w:tcPr>
            <w:tcW w:w="3898" w:type="dxa"/>
            <w:shd w:val="clear" w:color="auto" w:fill="auto"/>
          </w:tcPr>
          <w:p w14:paraId="25DE919A" w14:textId="13978958"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5 years</w:t>
            </w:r>
          </w:p>
        </w:tc>
      </w:tr>
      <w:tr w:rsidR="003A00AF" w:rsidRPr="00793596" w14:paraId="6F2A574B" w14:textId="77777777" w:rsidTr="002E5240">
        <w:trPr>
          <w:cantSplit/>
          <w:trHeight w:val="308"/>
        </w:trPr>
        <w:tc>
          <w:tcPr>
            <w:tcW w:w="2410" w:type="dxa"/>
          </w:tcPr>
          <w:p w14:paraId="5ACCF069" w14:textId="39FE217E"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Buy/sell spread</w:t>
            </w:r>
          </w:p>
        </w:tc>
        <w:tc>
          <w:tcPr>
            <w:tcW w:w="3898" w:type="dxa"/>
            <w:shd w:val="clear" w:color="auto" w:fill="auto"/>
          </w:tcPr>
          <w:p w14:paraId="032FDD97" w14:textId="52F51790" w:rsidR="003A00AF"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0.28%/0.28%</w:t>
            </w:r>
          </w:p>
        </w:tc>
        <w:tc>
          <w:tcPr>
            <w:tcW w:w="3898" w:type="dxa"/>
            <w:shd w:val="clear" w:color="auto" w:fill="auto"/>
          </w:tcPr>
          <w:p w14:paraId="5E549D7B" w14:textId="0B063463" w:rsidR="003A00AF" w:rsidRPr="00591645" w:rsidRDefault="00420E14" w:rsidP="009479DE">
            <w:pPr>
              <w:pStyle w:val="TableHeading2"/>
              <w:spacing w:line="240" w:lineRule="auto"/>
              <w:rPr>
                <w:rFonts w:ascii="Helvetica" w:hAnsi="Helvetica" w:cs="Arial"/>
                <w:sz w:val="18"/>
                <w:szCs w:val="18"/>
              </w:rPr>
            </w:pPr>
            <w:r w:rsidRPr="00591645">
              <w:rPr>
                <w:rFonts w:ascii="Helvetica" w:hAnsi="Helvetica" w:cs="Arial"/>
                <w:sz w:val="18"/>
                <w:szCs w:val="18"/>
              </w:rPr>
              <w:t>0.25%/0.25%</w:t>
            </w:r>
          </w:p>
        </w:tc>
      </w:tr>
      <w:tr w:rsidR="003A00AF" w:rsidRPr="00793596" w14:paraId="058FD01E" w14:textId="77777777" w:rsidTr="002E5240">
        <w:trPr>
          <w:cantSplit/>
          <w:trHeight w:val="308"/>
        </w:trPr>
        <w:tc>
          <w:tcPr>
            <w:tcW w:w="2410" w:type="dxa"/>
          </w:tcPr>
          <w:p w14:paraId="3BDF90B1" w14:textId="7C19B66B"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 xml:space="preserve">Investment management costs as </w:t>
            </w:r>
            <w:proofErr w:type="gramStart"/>
            <w:r w:rsidRPr="00301E8A">
              <w:rPr>
                <w:rFonts w:ascii="Helvetica" w:hAnsi="Helvetica" w:cs="Arial"/>
                <w:b/>
                <w:bCs/>
                <w:color w:val="auto"/>
                <w:sz w:val="18"/>
                <w:szCs w:val="18"/>
              </w:rPr>
              <w:t>at</w:t>
            </w:r>
            <w:proofErr w:type="gramEnd"/>
            <w:r w:rsidRPr="00301E8A">
              <w:rPr>
                <w:rFonts w:ascii="Helvetica" w:hAnsi="Helvetica" w:cs="Arial"/>
                <w:b/>
                <w:bCs/>
                <w:color w:val="auto"/>
                <w:sz w:val="18"/>
                <w:szCs w:val="18"/>
              </w:rPr>
              <w:t xml:space="preserve"> 30 June </w:t>
            </w:r>
            <w:r w:rsidR="00A312AC" w:rsidRPr="00301E8A">
              <w:rPr>
                <w:rFonts w:ascii="Helvetica" w:hAnsi="Helvetica" w:cs="Arial"/>
                <w:b/>
                <w:bCs/>
                <w:color w:val="auto"/>
                <w:sz w:val="18"/>
                <w:szCs w:val="18"/>
              </w:rPr>
              <w:t xml:space="preserve">2022 </w:t>
            </w:r>
            <w:r w:rsidR="00441A03" w:rsidRPr="00301E8A">
              <w:rPr>
                <w:rFonts w:ascii="Helvetica" w:hAnsi="Helvetica" w:cs="Arial"/>
                <w:b/>
                <w:bCs/>
                <w:color w:val="auto"/>
                <w:sz w:val="18"/>
                <w:szCs w:val="18"/>
              </w:rPr>
              <w:t>(estimated)</w:t>
            </w:r>
          </w:p>
        </w:tc>
        <w:tc>
          <w:tcPr>
            <w:tcW w:w="3898" w:type="dxa"/>
            <w:shd w:val="clear" w:color="auto" w:fill="auto"/>
          </w:tcPr>
          <w:p w14:paraId="28EC5C13" w14:textId="0178122C" w:rsidR="003A00AF" w:rsidRPr="00591645" w:rsidRDefault="003A00AF"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ICR: </w:t>
            </w:r>
            <w:r w:rsidR="0020627E" w:rsidRPr="00591645">
              <w:rPr>
                <w:rFonts w:ascii="Helvetica" w:hAnsi="Helvetica" w:cs="Arial"/>
                <w:sz w:val="18"/>
                <w:szCs w:val="18"/>
              </w:rPr>
              <w:t>0.70</w:t>
            </w:r>
            <w:r w:rsidRPr="00591645">
              <w:rPr>
                <w:rFonts w:ascii="Helvetica" w:hAnsi="Helvetica" w:cs="Arial"/>
                <w:sz w:val="18"/>
                <w:szCs w:val="18"/>
              </w:rPr>
              <w:t>% p.a.</w:t>
            </w:r>
          </w:p>
          <w:p w14:paraId="6E3DDE07" w14:textId="77777777" w:rsidR="0020627E" w:rsidRPr="00591645" w:rsidRDefault="0020627E" w:rsidP="009479DE">
            <w:pPr>
              <w:pStyle w:val="TableHeading2"/>
              <w:spacing w:line="240" w:lineRule="auto"/>
              <w:rPr>
                <w:rFonts w:ascii="Helvetica" w:hAnsi="Helvetica" w:cs="Arial"/>
                <w:sz w:val="18"/>
                <w:szCs w:val="18"/>
              </w:rPr>
            </w:pPr>
          </w:p>
          <w:p w14:paraId="0ABE9C4A" w14:textId="14948442" w:rsidR="0020627E"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Headline fee of 0.70% p.a. plus </w:t>
            </w:r>
            <w:r w:rsidR="009262F6" w:rsidRPr="00591645">
              <w:rPr>
                <w:rFonts w:ascii="Helvetica" w:hAnsi="Helvetica" w:cs="Arial"/>
                <w:sz w:val="18"/>
                <w:szCs w:val="18"/>
              </w:rPr>
              <w:t xml:space="preserve">estimated </w:t>
            </w:r>
            <w:r w:rsidRPr="00591645">
              <w:rPr>
                <w:rFonts w:ascii="Helvetica" w:hAnsi="Helvetica" w:cs="Arial"/>
                <w:sz w:val="18"/>
                <w:szCs w:val="18"/>
              </w:rPr>
              <w:t>performance fee</w:t>
            </w:r>
            <w:r w:rsidR="009262F6" w:rsidRPr="00591645">
              <w:rPr>
                <w:rFonts w:ascii="Helvetica" w:hAnsi="Helvetica" w:cs="Arial"/>
                <w:sz w:val="18"/>
                <w:szCs w:val="18"/>
              </w:rPr>
              <w:t xml:space="preserve"> of 0.46%</w:t>
            </w:r>
          </w:p>
        </w:tc>
        <w:tc>
          <w:tcPr>
            <w:tcW w:w="3898" w:type="dxa"/>
            <w:shd w:val="clear" w:color="auto" w:fill="auto"/>
          </w:tcPr>
          <w:p w14:paraId="04502DD3" w14:textId="756A6942" w:rsidR="00D03FB7" w:rsidRPr="00591645" w:rsidRDefault="00D03FB7" w:rsidP="00D03FB7">
            <w:pPr>
              <w:pStyle w:val="TableHeading2"/>
              <w:spacing w:line="240" w:lineRule="auto"/>
              <w:rPr>
                <w:rFonts w:ascii="Helvetica" w:hAnsi="Helvetica" w:cs="Arial"/>
                <w:sz w:val="18"/>
                <w:szCs w:val="18"/>
              </w:rPr>
            </w:pPr>
            <w:r w:rsidRPr="00591645">
              <w:rPr>
                <w:rFonts w:ascii="Helvetica" w:hAnsi="Helvetica" w:cs="Arial"/>
                <w:sz w:val="18"/>
                <w:szCs w:val="18"/>
              </w:rPr>
              <w:t>ICR: 1.15% p.a.</w:t>
            </w:r>
          </w:p>
          <w:p w14:paraId="12FAB4B9" w14:textId="77777777" w:rsidR="00D03FB7" w:rsidRPr="00591645" w:rsidRDefault="00D03FB7" w:rsidP="00D03FB7">
            <w:pPr>
              <w:pStyle w:val="TableHeading2"/>
              <w:spacing w:line="240" w:lineRule="auto"/>
              <w:rPr>
                <w:rFonts w:ascii="Helvetica" w:hAnsi="Helvetica" w:cs="Arial"/>
                <w:sz w:val="18"/>
                <w:szCs w:val="18"/>
              </w:rPr>
            </w:pPr>
          </w:p>
          <w:p w14:paraId="4D7E6905" w14:textId="45E721EC" w:rsidR="003A00AF" w:rsidRPr="00591645" w:rsidRDefault="00D03FB7" w:rsidP="00D03FB7">
            <w:pPr>
              <w:pStyle w:val="TableHeading2"/>
              <w:spacing w:line="240" w:lineRule="auto"/>
              <w:rPr>
                <w:rFonts w:ascii="Helvetica" w:hAnsi="Helvetica" w:cs="Arial"/>
                <w:sz w:val="18"/>
                <w:szCs w:val="18"/>
              </w:rPr>
            </w:pPr>
            <w:r w:rsidRPr="00591645">
              <w:rPr>
                <w:rFonts w:ascii="Helvetica" w:hAnsi="Helvetica" w:cs="Arial"/>
                <w:sz w:val="18"/>
                <w:szCs w:val="18"/>
              </w:rPr>
              <w:t xml:space="preserve">Headline fee of 1.15% p.a. plus </w:t>
            </w:r>
            <w:r w:rsidR="009262F6" w:rsidRPr="00591645">
              <w:rPr>
                <w:rFonts w:ascii="Helvetica" w:hAnsi="Helvetica" w:cs="Arial"/>
                <w:sz w:val="18"/>
                <w:szCs w:val="18"/>
              </w:rPr>
              <w:t xml:space="preserve">estimated </w:t>
            </w:r>
            <w:r w:rsidRPr="00591645">
              <w:rPr>
                <w:rFonts w:ascii="Helvetica" w:hAnsi="Helvetica" w:cs="Arial"/>
                <w:sz w:val="18"/>
                <w:szCs w:val="18"/>
              </w:rPr>
              <w:t>performance fee</w:t>
            </w:r>
            <w:r w:rsidR="009262F6" w:rsidRPr="00591645">
              <w:rPr>
                <w:rFonts w:ascii="Helvetica" w:hAnsi="Helvetica" w:cs="Arial"/>
                <w:sz w:val="18"/>
                <w:szCs w:val="18"/>
              </w:rPr>
              <w:t xml:space="preserve"> of 2.64%</w:t>
            </w:r>
          </w:p>
        </w:tc>
      </w:tr>
      <w:tr w:rsidR="003A00AF" w:rsidRPr="00793596" w14:paraId="45199AE1" w14:textId="77777777" w:rsidTr="002E5240">
        <w:trPr>
          <w:cantSplit/>
          <w:trHeight w:val="308"/>
        </w:trPr>
        <w:tc>
          <w:tcPr>
            <w:tcW w:w="2410" w:type="dxa"/>
          </w:tcPr>
          <w:p w14:paraId="71CE5292" w14:textId="204567B9"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Indirect transactional &amp; operational costs (estimated)</w:t>
            </w:r>
          </w:p>
        </w:tc>
        <w:tc>
          <w:tcPr>
            <w:tcW w:w="3898" w:type="dxa"/>
            <w:shd w:val="clear" w:color="auto" w:fill="auto"/>
          </w:tcPr>
          <w:p w14:paraId="13428F85" w14:textId="3C8A79F0" w:rsidR="003A00AF"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0.31%</w:t>
            </w:r>
            <w:r w:rsidR="003A00AF" w:rsidRPr="00591645">
              <w:rPr>
                <w:rFonts w:ascii="Helvetica" w:hAnsi="Helvetica" w:cs="Arial"/>
                <w:sz w:val="18"/>
                <w:szCs w:val="18"/>
              </w:rPr>
              <w:t xml:space="preserve"> p.a.</w:t>
            </w:r>
          </w:p>
        </w:tc>
        <w:tc>
          <w:tcPr>
            <w:tcW w:w="3898" w:type="dxa"/>
            <w:shd w:val="clear" w:color="auto" w:fill="auto"/>
          </w:tcPr>
          <w:p w14:paraId="7B88AB1E" w14:textId="5E5536E2"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0.26%</w:t>
            </w:r>
          </w:p>
        </w:tc>
      </w:tr>
      <w:tr w:rsidR="003A00AF" w:rsidRPr="00793596" w14:paraId="7CBC0DD5" w14:textId="77777777" w:rsidTr="002E5240">
        <w:trPr>
          <w:cantSplit/>
          <w:trHeight w:val="308"/>
        </w:trPr>
        <w:tc>
          <w:tcPr>
            <w:tcW w:w="2410" w:type="dxa"/>
          </w:tcPr>
          <w:p w14:paraId="7C16C20F" w14:textId="39781D3C"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lastRenderedPageBreak/>
              <w:t xml:space="preserve">Underlying strategy returns (pre-tax and after investment fees) as at </w:t>
            </w:r>
            <w:r w:rsidR="00A312AC" w:rsidRPr="00301E8A">
              <w:rPr>
                <w:rFonts w:ascii="Helvetica" w:hAnsi="Helvetica" w:cs="Arial"/>
                <w:b/>
                <w:bCs/>
                <w:color w:val="auto"/>
                <w:sz w:val="18"/>
                <w:szCs w:val="18"/>
              </w:rPr>
              <w:t>31 December 2022</w:t>
            </w:r>
          </w:p>
        </w:tc>
        <w:tc>
          <w:tcPr>
            <w:tcW w:w="3898" w:type="dxa"/>
            <w:shd w:val="clear" w:color="auto" w:fill="auto"/>
          </w:tcPr>
          <w:p w14:paraId="6DB23168" w14:textId="4F0D27E9" w:rsidR="003A00AF" w:rsidRPr="00591645" w:rsidRDefault="003A00AF" w:rsidP="009479DE">
            <w:pPr>
              <w:spacing w:line="240" w:lineRule="auto"/>
              <w:rPr>
                <w:rFonts w:ascii="Helvetica" w:hAnsi="Helvetica" w:cs="Arial"/>
                <w:sz w:val="18"/>
                <w:szCs w:val="18"/>
              </w:rPr>
            </w:pPr>
            <w:r w:rsidRPr="00591645">
              <w:rPr>
                <w:rFonts w:ascii="Helvetica" w:hAnsi="Helvetica" w:cs="Arial"/>
                <w:sz w:val="18"/>
                <w:szCs w:val="18"/>
              </w:rPr>
              <w:t xml:space="preserve">1 year: </w:t>
            </w:r>
            <w:r w:rsidR="00D03FB7" w:rsidRPr="00591645">
              <w:rPr>
                <w:rFonts w:ascii="Helvetica" w:hAnsi="Helvetica" w:cs="Arial"/>
                <w:sz w:val="18"/>
                <w:szCs w:val="18"/>
              </w:rPr>
              <w:t>-26.57</w:t>
            </w:r>
            <w:r w:rsidRPr="00591645">
              <w:rPr>
                <w:rFonts w:ascii="Helvetica" w:hAnsi="Helvetica" w:cs="Arial"/>
                <w:sz w:val="18"/>
                <w:szCs w:val="18"/>
              </w:rPr>
              <w:t>%</w:t>
            </w:r>
          </w:p>
          <w:p w14:paraId="681E659B" w14:textId="46C0F2EE" w:rsidR="003A00AF" w:rsidRPr="00591645" w:rsidRDefault="003A00AF" w:rsidP="009479DE">
            <w:pPr>
              <w:spacing w:line="240" w:lineRule="auto"/>
              <w:rPr>
                <w:rFonts w:ascii="Helvetica" w:hAnsi="Helvetica" w:cs="Arial"/>
                <w:sz w:val="18"/>
                <w:szCs w:val="18"/>
              </w:rPr>
            </w:pPr>
            <w:r w:rsidRPr="00591645">
              <w:rPr>
                <w:rFonts w:ascii="Helvetica" w:hAnsi="Helvetica" w:cs="Arial"/>
                <w:sz w:val="18"/>
                <w:szCs w:val="18"/>
              </w:rPr>
              <w:t xml:space="preserve">3 years: </w:t>
            </w:r>
            <w:r w:rsidR="00D03FB7" w:rsidRPr="00591645">
              <w:rPr>
                <w:rFonts w:ascii="Helvetica" w:hAnsi="Helvetica" w:cs="Arial"/>
                <w:sz w:val="18"/>
                <w:szCs w:val="18"/>
              </w:rPr>
              <w:t>-10.38</w:t>
            </w:r>
            <w:r w:rsidRPr="00591645">
              <w:rPr>
                <w:rFonts w:ascii="Helvetica" w:hAnsi="Helvetica" w:cs="Arial"/>
                <w:sz w:val="18"/>
                <w:szCs w:val="18"/>
              </w:rPr>
              <w:t>% p.a.</w:t>
            </w:r>
          </w:p>
          <w:p w14:paraId="101FA666" w14:textId="733473C4" w:rsidR="003A00AF" w:rsidRPr="00591645" w:rsidRDefault="003A00AF"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5 years: </w:t>
            </w:r>
            <w:r w:rsidR="00D03FB7" w:rsidRPr="00591645">
              <w:rPr>
                <w:rFonts w:ascii="Helvetica" w:hAnsi="Helvetica" w:cs="Arial"/>
                <w:sz w:val="18"/>
                <w:szCs w:val="18"/>
              </w:rPr>
              <w:t>-5.69</w:t>
            </w:r>
            <w:r w:rsidRPr="00591645">
              <w:rPr>
                <w:rFonts w:ascii="Helvetica" w:hAnsi="Helvetica" w:cs="Arial"/>
                <w:sz w:val="18"/>
                <w:szCs w:val="18"/>
              </w:rPr>
              <w:t>% p.a.</w:t>
            </w:r>
          </w:p>
        </w:tc>
        <w:tc>
          <w:tcPr>
            <w:tcW w:w="3898" w:type="dxa"/>
            <w:shd w:val="clear" w:color="auto" w:fill="auto"/>
          </w:tcPr>
          <w:p w14:paraId="489899E6" w14:textId="3E4A2834" w:rsidR="00245403" w:rsidRPr="00591645" w:rsidRDefault="00245403" w:rsidP="00245403">
            <w:pPr>
              <w:spacing w:line="240" w:lineRule="auto"/>
              <w:rPr>
                <w:rFonts w:ascii="Helvetica" w:hAnsi="Helvetica" w:cs="Arial"/>
                <w:sz w:val="18"/>
                <w:szCs w:val="18"/>
              </w:rPr>
            </w:pPr>
            <w:r w:rsidRPr="00591645">
              <w:rPr>
                <w:rFonts w:ascii="Helvetica" w:hAnsi="Helvetica" w:cs="Arial"/>
                <w:sz w:val="18"/>
                <w:szCs w:val="18"/>
              </w:rPr>
              <w:t xml:space="preserve">1 year: </w:t>
            </w:r>
            <w:r w:rsidR="00D03FB7" w:rsidRPr="00591645">
              <w:rPr>
                <w:rFonts w:ascii="Helvetica" w:hAnsi="Helvetica" w:cs="Arial"/>
                <w:sz w:val="18"/>
                <w:szCs w:val="18"/>
              </w:rPr>
              <w:t>-6.73</w:t>
            </w:r>
            <w:r w:rsidRPr="00591645">
              <w:rPr>
                <w:rFonts w:ascii="Helvetica" w:hAnsi="Helvetica" w:cs="Arial"/>
                <w:sz w:val="18"/>
                <w:szCs w:val="18"/>
              </w:rPr>
              <w:t>%</w:t>
            </w:r>
          </w:p>
          <w:p w14:paraId="2154E499" w14:textId="3DF5326D" w:rsidR="00245403" w:rsidRPr="00591645" w:rsidRDefault="00245403" w:rsidP="00245403">
            <w:pPr>
              <w:spacing w:line="240" w:lineRule="auto"/>
              <w:rPr>
                <w:rFonts w:ascii="Helvetica" w:hAnsi="Helvetica" w:cs="Arial"/>
                <w:sz w:val="18"/>
                <w:szCs w:val="18"/>
              </w:rPr>
            </w:pPr>
            <w:r w:rsidRPr="00591645">
              <w:rPr>
                <w:rFonts w:ascii="Helvetica" w:hAnsi="Helvetica" w:cs="Arial"/>
                <w:sz w:val="18"/>
                <w:szCs w:val="18"/>
              </w:rPr>
              <w:t xml:space="preserve">3 years: </w:t>
            </w:r>
            <w:r w:rsidR="00D03FB7" w:rsidRPr="00591645">
              <w:rPr>
                <w:rFonts w:ascii="Helvetica" w:hAnsi="Helvetica" w:cs="Arial"/>
                <w:sz w:val="18"/>
                <w:szCs w:val="18"/>
              </w:rPr>
              <w:t>14.41</w:t>
            </w:r>
            <w:r w:rsidRPr="00591645">
              <w:rPr>
                <w:rFonts w:ascii="Helvetica" w:hAnsi="Helvetica" w:cs="Arial"/>
                <w:sz w:val="18"/>
                <w:szCs w:val="18"/>
              </w:rPr>
              <w:t>% p.a.</w:t>
            </w:r>
          </w:p>
          <w:p w14:paraId="293F4EBA" w14:textId="40C72A64" w:rsidR="003A00AF" w:rsidRPr="00591645" w:rsidRDefault="00245403"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5 years: </w:t>
            </w:r>
            <w:r w:rsidR="00420E14" w:rsidRPr="00591645">
              <w:rPr>
                <w:rFonts w:ascii="Helvetica" w:hAnsi="Helvetica" w:cs="Arial"/>
                <w:sz w:val="18"/>
                <w:szCs w:val="18"/>
              </w:rPr>
              <w:t>Not applicable</w:t>
            </w:r>
          </w:p>
        </w:tc>
      </w:tr>
      <w:tr w:rsidR="003A00AF" w:rsidRPr="00793596" w14:paraId="43C1AB48" w14:textId="77777777" w:rsidTr="002E5240">
        <w:trPr>
          <w:cantSplit/>
          <w:trHeight w:val="308"/>
        </w:trPr>
        <w:tc>
          <w:tcPr>
            <w:tcW w:w="2410" w:type="dxa"/>
          </w:tcPr>
          <w:p w14:paraId="7CC4E18F" w14:textId="2540508C"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Zenith rating</w:t>
            </w:r>
          </w:p>
        </w:tc>
        <w:tc>
          <w:tcPr>
            <w:tcW w:w="3898" w:type="dxa"/>
            <w:shd w:val="clear" w:color="auto" w:fill="auto"/>
          </w:tcPr>
          <w:p w14:paraId="280E2862" w14:textId="33B202AB"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Under Review</w:t>
            </w:r>
          </w:p>
        </w:tc>
        <w:tc>
          <w:tcPr>
            <w:tcW w:w="3898" w:type="dxa"/>
            <w:shd w:val="clear" w:color="auto" w:fill="auto"/>
          </w:tcPr>
          <w:p w14:paraId="422FEDC6" w14:textId="593A1308"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Recommended</w:t>
            </w:r>
          </w:p>
        </w:tc>
      </w:tr>
      <w:tr w:rsidR="003A00AF" w:rsidRPr="00793596" w14:paraId="0F8ACCBA" w14:textId="77777777" w:rsidTr="002E5240">
        <w:trPr>
          <w:cantSplit/>
          <w:trHeight w:val="308"/>
        </w:trPr>
        <w:tc>
          <w:tcPr>
            <w:tcW w:w="2410" w:type="dxa"/>
          </w:tcPr>
          <w:p w14:paraId="5E54AF27" w14:textId="4E0070C2"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Lonsec rating</w:t>
            </w:r>
          </w:p>
        </w:tc>
        <w:tc>
          <w:tcPr>
            <w:tcW w:w="3898" w:type="dxa"/>
            <w:shd w:val="clear" w:color="auto" w:fill="auto"/>
          </w:tcPr>
          <w:p w14:paraId="71D042C2" w14:textId="4F1D1769"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Under Review</w:t>
            </w:r>
          </w:p>
        </w:tc>
        <w:tc>
          <w:tcPr>
            <w:tcW w:w="3898" w:type="dxa"/>
            <w:shd w:val="clear" w:color="auto" w:fill="auto"/>
          </w:tcPr>
          <w:p w14:paraId="5D9DF347" w14:textId="20D7266C"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Recommended</w:t>
            </w:r>
          </w:p>
        </w:tc>
      </w:tr>
      <w:tr w:rsidR="003A00AF" w:rsidRPr="00793596" w14:paraId="196CF727" w14:textId="77777777" w:rsidTr="002E5240">
        <w:trPr>
          <w:cantSplit/>
          <w:trHeight w:val="308"/>
        </w:trPr>
        <w:tc>
          <w:tcPr>
            <w:tcW w:w="2410" w:type="dxa"/>
          </w:tcPr>
          <w:p w14:paraId="53AE515B" w14:textId="1A0525B4"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Morningstar rating</w:t>
            </w:r>
          </w:p>
        </w:tc>
        <w:tc>
          <w:tcPr>
            <w:tcW w:w="3898" w:type="dxa"/>
            <w:shd w:val="clear" w:color="auto" w:fill="auto"/>
          </w:tcPr>
          <w:p w14:paraId="6173EACC" w14:textId="2A180750"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Under Review</w:t>
            </w:r>
          </w:p>
        </w:tc>
        <w:tc>
          <w:tcPr>
            <w:tcW w:w="3898" w:type="dxa"/>
            <w:shd w:val="clear" w:color="auto" w:fill="auto"/>
          </w:tcPr>
          <w:p w14:paraId="37036CAD" w14:textId="77218136" w:rsidR="003A00AF" w:rsidRPr="00591645" w:rsidRDefault="0008537A" w:rsidP="009479DE">
            <w:pPr>
              <w:pStyle w:val="TableHeading2"/>
              <w:spacing w:line="240" w:lineRule="auto"/>
              <w:rPr>
                <w:rFonts w:ascii="Helvetica" w:hAnsi="Helvetica" w:cs="Arial"/>
                <w:sz w:val="18"/>
                <w:szCs w:val="18"/>
              </w:rPr>
            </w:pPr>
            <w:r w:rsidRPr="00591645">
              <w:rPr>
                <w:rFonts w:ascii="Helvetica" w:hAnsi="Helvetica" w:cs="Arial"/>
                <w:sz w:val="18"/>
                <w:szCs w:val="18"/>
              </w:rPr>
              <w:t>Silver</w:t>
            </w:r>
          </w:p>
        </w:tc>
      </w:tr>
      <w:tr w:rsidR="003A00AF" w:rsidRPr="00793596" w14:paraId="6FA6C18F" w14:textId="77777777" w:rsidTr="002E5240">
        <w:trPr>
          <w:cantSplit/>
          <w:trHeight w:val="308"/>
        </w:trPr>
        <w:tc>
          <w:tcPr>
            <w:tcW w:w="2410" w:type="dxa"/>
          </w:tcPr>
          <w:p w14:paraId="04523F88" w14:textId="77777777" w:rsidR="003A00AF" w:rsidRPr="00301E8A" w:rsidRDefault="003A00AF" w:rsidP="009479DE">
            <w:pPr>
              <w:pStyle w:val="Table"/>
              <w:spacing w:line="240" w:lineRule="auto"/>
              <w:rPr>
                <w:rFonts w:ascii="Helvetica" w:hAnsi="Helvetica" w:cs="Arial"/>
                <w:b/>
                <w:bCs/>
                <w:color w:val="auto"/>
                <w:sz w:val="18"/>
                <w:szCs w:val="18"/>
              </w:rPr>
            </w:pPr>
          </w:p>
        </w:tc>
        <w:tc>
          <w:tcPr>
            <w:tcW w:w="3898" w:type="dxa"/>
            <w:shd w:val="clear" w:color="auto" w:fill="auto"/>
          </w:tcPr>
          <w:p w14:paraId="625BE5E6" w14:textId="77777777" w:rsidR="003A00AF" w:rsidRPr="00793596" w:rsidRDefault="003A00AF" w:rsidP="009479DE">
            <w:pPr>
              <w:pStyle w:val="TableHeading2"/>
              <w:spacing w:line="240" w:lineRule="auto"/>
              <w:rPr>
                <w:rFonts w:ascii="Helvetica" w:hAnsi="Helvetica" w:cs="Arial"/>
                <w:sz w:val="18"/>
                <w:szCs w:val="18"/>
              </w:rPr>
            </w:pPr>
          </w:p>
        </w:tc>
        <w:tc>
          <w:tcPr>
            <w:tcW w:w="3898" w:type="dxa"/>
            <w:shd w:val="clear" w:color="auto" w:fill="auto"/>
          </w:tcPr>
          <w:p w14:paraId="7A8F89CF" w14:textId="77777777" w:rsidR="003A00AF" w:rsidRPr="00793596" w:rsidRDefault="003A00AF" w:rsidP="009479DE">
            <w:pPr>
              <w:pStyle w:val="TableHeading2"/>
              <w:spacing w:line="240" w:lineRule="auto"/>
              <w:rPr>
                <w:rFonts w:ascii="Helvetica" w:hAnsi="Helvetica" w:cs="Arial"/>
                <w:sz w:val="18"/>
                <w:szCs w:val="18"/>
              </w:rPr>
            </w:pPr>
          </w:p>
        </w:tc>
      </w:tr>
    </w:tbl>
    <w:p w14:paraId="3E1188AC" w14:textId="23732D06" w:rsidR="00E27E5D" w:rsidRPr="00591645" w:rsidRDefault="00E27E5D" w:rsidP="00E27E5D">
      <w:pPr>
        <w:ind w:right="-75"/>
        <w:rPr>
          <w:rFonts w:ascii="Helvetica" w:hAnsi="Helvetica"/>
          <w:b/>
          <w:bCs/>
          <w:color w:val="2B41B1"/>
          <w:sz w:val="18"/>
          <w:szCs w:val="18"/>
        </w:rPr>
      </w:pPr>
      <w:r w:rsidRPr="00591645">
        <w:rPr>
          <w:rFonts w:ascii="Helvetica" w:hAnsi="Helvetica"/>
          <w:b/>
          <w:bCs/>
          <w:color w:val="2B41B1"/>
          <w:sz w:val="18"/>
          <w:szCs w:val="18"/>
        </w:rPr>
        <w:t xml:space="preserve">ABOUT THE </w:t>
      </w:r>
      <w:r w:rsidR="0008537A" w:rsidRPr="00591645">
        <w:rPr>
          <w:rFonts w:ascii="Helvetica" w:hAnsi="Helvetica"/>
          <w:b/>
          <w:bCs/>
          <w:color w:val="2B41B1"/>
          <w:sz w:val="18"/>
          <w:szCs w:val="18"/>
        </w:rPr>
        <w:t xml:space="preserve">DNR CAPITAL </w:t>
      </w:r>
      <w:r w:rsidR="00420E14" w:rsidRPr="00591645">
        <w:rPr>
          <w:rFonts w:ascii="Helvetica" w:hAnsi="Helvetica"/>
          <w:b/>
          <w:bCs/>
          <w:color w:val="2B41B1"/>
          <w:sz w:val="18"/>
          <w:szCs w:val="18"/>
        </w:rPr>
        <w:t xml:space="preserve">AUSTRALIAN </w:t>
      </w:r>
      <w:r w:rsidR="0008537A" w:rsidRPr="00591645">
        <w:rPr>
          <w:rFonts w:ascii="Helvetica" w:hAnsi="Helvetica"/>
          <w:b/>
          <w:bCs/>
          <w:color w:val="2B41B1"/>
          <w:sz w:val="18"/>
          <w:szCs w:val="18"/>
        </w:rPr>
        <w:t xml:space="preserve">EMERGING COMPANIES </w:t>
      </w:r>
      <w:r w:rsidR="00420E14" w:rsidRPr="00591645">
        <w:rPr>
          <w:rFonts w:ascii="Helvetica" w:hAnsi="Helvetica"/>
          <w:b/>
          <w:bCs/>
          <w:color w:val="2B41B1"/>
          <w:sz w:val="18"/>
          <w:szCs w:val="18"/>
        </w:rPr>
        <w:t>PORTFOLIO</w:t>
      </w:r>
    </w:p>
    <w:p w14:paraId="41B50FAB" w14:textId="77777777" w:rsidR="00E27E5D" w:rsidRPr="00301E8A" w:rsidRDefault="00E27E5D" w:rsidP="00E27E5D">
      <w:pPr>
        <w:ind w:right="-75"/>
        <w:rPr>
          <w:rFonts w:ascii="Helvetica" w:hAnsi="Helvetica"/>
          <w:b/>
          <w:bCs/>
          <w:color w:val="auto"/>
          <w:sz w:val="18"/>
          <w:szCs w:val="18"/>
        </w:rPr>
      </w:pPr>
      <w:r w:rsidRPr="00301E8A">
        <w:rPr>
          <w:rFonts w:ascii="Helvetica" w:hAnsi="Helvetica"/>
          <w:b/>
          <w:bCs/>
          <w:color w:val="auto"/>
          <w:sz w:val="18"/>
          <w:szCs w:val="18"/>
        </w:rPr>
        <w:t>What is the strategy?</w:t>
      </w:r>
    </w:p>
    <w:p w14:paraId="5AAA435A" w14:textId="67176A4F" w:rsidR="005C5611" w:rsidRPr="00301E8A" w:rsidRDefault="005C5611" w:rsidP="005C5611">
      <w:pPr>
        <w:autoSpaceDE w:val="0"/>
        <w:autoSpaceDN w:val="0"/>
        <w:adjustRightInd w:val="0"/>
        <w:spacing w:after="0" w:line="240" w:lineRule="auto"/>
        <w:rPr>
          <w:rFonts w:ascii="Helvetica" w:hAnsi="Helvetica" w:cs="Helvetica"/>
          <w:sz w:val="18"/>
          <w:szCs w:val="18"/>
        </w:rPr>
      </w:pPr>
      <w:r w:rsidRPr="00301E8A">
        <w:rPr>
          <w:rFonts w:ascii="Helvetica" w:hAnsi="Helvetica" w:cs="Helvetica"/>
          <w:sz w:val="18"/>
          <w:szCs w:val="18"/>
        </w:rPr>
        <w:t xml:space="preserve">The DNR Capital Australian Emerging </w:t>
      </w:r>
      <w:r w:rsidR="00420E14" w:rsidRPr="00301E8A">
        <w:rPr>
          <w:rFonts w:ascii="Helvetica" w:hAnsi="Helvetica" w:cs="Helvetica"/>
          <w:sz w:val="18"/>
          <w:szCs w:val="18"/>
        </w:rPr>
        <w:t xml:space="preserve">Companies Portfolio </w:t>
      </w:r>
      <w:r w:rsidRPr="00301E8A">
        <w:rPr>
          <w:rFonts w:ascii="Helvetica" w:hAnsi="Helvetica" w:cs="Helvetica"/>
          <w:sz w:val="18"/>
          <w:szCs w:val="18"/>
        </w:rPr>
        <w:t xml:space="preserve">(’the </w:t>
      </w:r>
      <w:r w:rsidR="00CC52D2" w:rsidRPr="00301E8A">
        <w:rPr>
          <w:rFonts w:ascii="Helvetica" w:hAnsi="Helvetica" w:cs="Helvetica"/>
          <w:sz w:val="18"/>
          <w:szCs w:val="18"/>
        </w:rPr>
        <w:t>P</w:t>
      </w:r>
      <w:r w:rsidR="00420E14" w:rsidRPr="00301E8A">
        <w:rPr>
          <w:rFonts w:ascii="Helvetica" w:hAnsi="Helvetica" w:cs="Helvetica"/>
          <w:sz w:val="18"/>
          <w:szCs w:val="18"/>
        </w:rPr>
        <w:t>ortfolio’</w:t>
      </w:r>
      <w:r w:rsidRPr="00301E8A">
        <w:rPr>
          <w:rFonts w:ascii="Helvetica" w:hAnsi="Helvetica" w:cs="Helvetica"/>
          <w:sz w:val="18"/>
          <w:szCs w:val="18"/>
        </w:rPr>
        <w:t>) applies a ‘quality’ investment process to build a portfolio of small cap companies trading at attractive valuations.</w:t>
      </w:r>
    </w:p>
    <w:p w14:paraId="0CA9BAC4" w14:textId="77777777" w:rsidR="005C5611" w:rsidRPr="00301E8A" w:rsidRDefault="005C5611" w:rsidP="005C5611">
      <w:pPr>
        <w:autoSpaceDE w:val="0"/>
        <w:autoSpaceDN w:val="0"/>
        <w:adjustRightInd w:val="0"/>
        <w:spacing w:after="0" w:line="240" w:lineRule="auto"/>
        <w:rPr>
          <w:rFonts w:ascii="Helvetica" w:hAnsi="Helvetica" w:cs="Helvetica"/>
          <w:sz w:val="18"/>
          <w:szCs w:val="18"/>
        </w:rPr>
      </w:pPr>
    </w:p>
    <w:p w14:paraId="73E292B1" w14:textId="03A55037" w:rsidR="005C5611" w:rsidRPr="00301E8A" w:rsidRDefault="005C5611" w:rsidP="005C5611">
      <w:pPr>
        <w:autoSpaceDE w:val="0"/>
        <w:autoSpaceDN w:val="0"/>
        <w:adjustRightInd w:val="0"/>
        <w:spacing w:after="0" w:line="240" w:lineRule="auto"/>
        <w:rPr>
          <w:rFonts w:ascii="Helvetica" w:hAnsi="Helvetica" w:cs="Helvetica"/>
          <w:sz w:val="18"/>
          <w:szCs w:val="18"/>
        </w:rPr>
      </w:pPr>
      <w:r w:rsidRPr="00301E8A">
        <w:rPr>
          <w:rFonts w:ascii="Helvetica" w:hAnsi="Helvetica" w:cs="Helvetica"/>
          <w:sz w:val="18"/>
          <w:szCs w:val="18"/>
        </w:rPr>
        <w:t xml:space="preserve">The </w:t>
      </w:r>
      <w:r w:rsidR="00CC52D2" w:rsidRPr="00301E8A">
        <w:rPr>
          <w:rFonts w:ascii="Helvetica" w:hAnsi="Helvetica" w:cs="Helvetica"/>
          <w:sz w:val="18"/>
          <w:szCs w:val="18"/>
        </w:rPr>
        <w:t>P</w:t>
      </w:r>
      <w:r w:rsidR="00420E14" w:rsidRPr="00301E8A">
        <w:rPr>
          <w:rFonts w:ascii="Helvetica" w:hAnsi="Helvetica" w:cs="Helvetica"/>
          <w:sz w:val="18"/>
          <w:szCs w:val="18"/>
        </w:rPr>
        <w:t xml:space="preserve">ortfolio </w:t>
      </w:r>
      <w:r w:rsidRPr="00301E8A">
        <w:rPr>
          <w:rFonts w:ascii="Helvetica" w:hAnsi="Helvetica" w:cs="Helvetica"/>
          <w:sz w:val="18"/>
          <w:szCs w:val="18"/>
        </w:rPr>
        <w:t xml:space="preserve">is a reasonably concentrated, ‘long only’ Australian equities </w:t>
      </w:r>
      <w:r w:rsidR="00872C58" w:rsidRPr="00301E8A">
        <w:rPr>
          <w:rFonts w:ascii="Helvetica" w:hAnsi="Helvetica" w:cs="Helvetica"/>
          <w:sz w:val="18"/>
          <w:szCs w:val="18"/>
        </w:rPr>
        <w:t>strategy</w:t>
      </w:r>
      <w:r w:rsidRPr="00301E8A">
        <w:rPr>
          <w:rFonts w:ascii="Helvetica" w:hAnsi="Helvetica" w:cs="Helvetica"/>
          <w:sz w:val="18"/>
          <w:szCs w:val="18"/>
        </w:rPr>
        <w:t xml:space="preserve"> managed by DNR Capital. </w:t>
      </w:r>
      <w:r w:rsidR="00872C58" w:rsidRPr="00301E8A">
        <w:rPr>
          <w:rFonts w:ascii="Helvetica" w:hAnsi="Helvetica" w:cs="Helvetica"/>
          <w:sz w:val="18"/>
          <w:szCs w:val="18"/>
        </w:rPr>
        <w:t>DNR Capital</w:t>
      </w:r>
      <w:r w:rsidRPr="00301E8A">
        <w:rPr>
          <w:rFonts w:ascii="Helvetica" w:hAnsi="Helvetica" w:cs="Helvetica"/>
          <w:sz w:val="18"/>
          <w:szCs w:val="18"/>
        </w:rPr>
        <w:t xml:space="preserve">’s expectation is for a relatively style neutral outcome over time. The underlying investment philosophy centres on five ‘quality’ factors which </w:t>
      </w:r>
      <w:r w:rsidR="00872C58" w:rsidRPr="00301E8A">
        <w:rPr>
          <w:rFonts w:ascii="Helvetica" w:hAnsi="Helvetica" w:cs="Helvetica"/>
          <w:sz w:val="18"/>
          <w:szCs w:val="18"/>
        </w:rPr>
        <w:t>DNR Capital</w:t>
      </w:r>
      <w:r w:rsidRPr="00301E8A">
        <w:rPr>
          <w:rFonts w:ascii="Helvetica" w:hAnsi="Helvetica" w:cs="Helvetica"/>
          <w:sz w:val="18"/>
          <w:szCs w:val="18"/>
        </w:rPr>
        <w:t xml:space="preserve"> believes contributes to medium-to-long term outperformance: earnings strength; superior industry position; a sound balance sheet; strong company management; and low ESG risk.</w:t>
      </w:r>
    </w:p>
    <w:p w14:paraId="52586C90" w14:textId="77777777" w:rsidR="005C5611" w:rsidRPr="00301E8A" w:rsidRDefault="005C5611" w:rsidP="005C5611">
      <w:pPr>
        <w:autoSpaceDE w:val="0"/>
        <w:autoSpaceDN w:val="0"/>
        <w:adjustRightInd w:val="0"/>
        <w:spacing w:after="0" w:line="240" w:lineRule="auto"/>
        <w:rPr>
          <w:rFonts w:ascii="Helvetica" w:hAnsi="Helvetica" w:cs="Helvetica"/>
          <w:sz w:val="18"/>
          <w:szCs w:val="18"/>
        </w:rPr>
      </w:pPr>
    </w:p>
    <w:p w14:paraId="4B03A034" w14:textId="0AC7E1BF" w:rsidR="005C5611" w:rsidRPr="00301E8A" w:rsidRDefault="005C5611" w:rsidP="005C5611">
      <w:pPr>
        <w:autoSpaceDE w:val="0"/>
        <w:autoSpaceDN w:val="0"/>
        <w:adjustRightInd w:val="0"/>
        <w:spacing w:after="0" w:line="240" w:lineRule="auto"/>
        <w:rPr>
          <w:rFonts w:ascii="Helvetica" w:hAnsi="Helvetica" w:cs="Helvetica"/>
          <w:sz w:val="18"/>
          <w:szCs w:val="18"/>
        </w:rPr>
      </w:pPr>
      <w:r w:rsidRPr="00301E8A">
        <w:rPr>
          <w:rFonts w:ascii="Helvetica" w:hAnsi="Helvetica" w:cs="Helvetica"/>
          <w:sz w:val="18"/>
          <w:szCs w:val="18"/>
        </w:rPr>
        <w:t xml:space="preserve">The objective of the </w:t>
      </w:r>
      <w:r w:rsidR="00420E14" w:rsidRPr="00301E8A">
        <w:rPr>
          <w:rFonts w:ascii="Helvetica" w:hAnsi="Helvetica" w:cs="Helvetica"/>
          <w:sz w:val="18"/>
          <w:szCs w:val="18"/>
        </w:rPr>
        <w:t xml:space="preserve">Portfolio </w:t>
      </w:r>
      <w:r w:rsidRPr="00301E8A">
        <w:rPr>
          <w:rFonts w:ascii="Helvetica" w:hAnsi="Helvetica" w:cs="Helvetica"/>
          <w:sz w:val="18"/>
          <w:szCs w:val="18"/>
        </w:rPr>
        <w:t>is to outperform the S&amp;P/ASX Small Ordinaries Accumulation Index (</w:t>
      </w:r>
      <w:r w:rsidR="00420E14" w:rsidRPr="00301E8A">
        <w:rPr>
          <w:rFonts w:ascii="Helvetica" w:hAnsi="Helvetica" w:cs="Helvetica"/>
          <w:sz w:val="18"/>
          <w:szCs w:val="18"/>
        </w:rPr>
        <w:t>before fees and taxes</w:t>
      </w:r>
      <w:r w:rsidR="00872C58" w:rsidRPr="00301E8A">
        <w:rPr>
          <w:rFonts w:ascii="Helvetica" w:hAnsi="Helvetica" w:cs="Helvetica"/>
          <w:sz w:val="18"/>
          <w:szCs w:val="18"/>
        </w:rPr>
        <w:t>)</w:t>
      </w:r>
      <w:r w:rsidR="00420E14" w:rsidRPr="00301E8A">
        <w:rPr>
          <w:rFonts w:ascii="Helvetica" w:hAnsi="Helvetica" w:cs="Helvetica"/>
          <w:sz w:val="18"/>
          <w:szCs w:val="18"/>
        </w:rPr>
        <w:t xml:space="preserve"> </w:t>
      </w:r>
      <w:r w:rsidRPr="00301E8A">
        <w:rPr>
          <w:rFonts w:ascii="Helvetica" w:hAnsi="Helvetica" w:cs="Helvetica"/>
          <w:sz w:val="18"/>
          <w:szCs w:val="18"/>
        </w:rPr>
        <w:t xml:space="preserve">over rolling five years. The </w:t>
      </w:r>
      <w:r w:rsidR="00420E14" w:rsidRPr="00301E8A">
        <w:rPr>
          <w:rFonts w:ascii="Helvetica" w:hAnsi="Helvetica" w:cs="Helvetica"/>
          <w:sz w:val="18"/>
          <w:szCs w:val="18"/>
        </w:rPr>
        <w:t xml:space="preserve">Portfolio </w:t>
      </w:r>
      <w:r w:rsidRPr="00301E8A">
        <w:rPr>
          <w:rFonts w:ascii="Helvetica" w:hAnsi="Helvetica" w:cs="Helvetica"/>
          <w:sz w:val="18"/>
          <w:szCs w:val="18"/>
        </w:rPr>
        <w:t>will hold between 20</w:t>
      </w:r>
      <w:r w:rsidR="00872C58" w:rsidRPr="00301E8A">
        <w:rPr>
          <w:rFonts w:ascii="Helvetica" w:hAnsi="Helvetica" w:cs="Helvetica"/>
          <w:sz w:val="18"/>
          <w:szCs w:val="18"/>
        </w:rPr>
        <w:t xml:space="preserve"> and </w:t>
      </w:r>
      <w:r w:rsidRPr="00301E8A">
        <w:rPr>
          <w:rFonts w:ascii="Helvetica" w:hAnsi="Helvetica" w:cs="Helvetica"/>
          <w:sz w:val="18"/>
          <w:szCs w:val="18"/>
        </w:rPr>
        <w:t>45 stocks and must not exceed a cash weight of 20%. Tracking error is expected to range</w:t>
      </w:r>
      <w:r w:rsidR="00420E14" w:rsidRPr="00301E8A">
        <w:rPr>
          <w:rFonts w:ascii="Helvetica" w:hAnsi="Helvetica" w:cs="Helvetica"/>
          <w:sz w:val="18"/>
          <w:szCs w:val="18"/>
        </w:rPr>
        <w:t xml:space="preserve"> </w:t>
      </w:r>
      <w:r w:rsidRPr="00301E8A">
        <w:rPr>
          <w:rFonts w:ascii="Helvetica" w:hAnsi="Helvetica" w:cs="Helvetica"/>
          <w:sz w:val="18"/>
          <w:szCs w:val="18"/>
        </w:rPr>
        <w:t>between 4.0</w:t>
      </w:r>
      <w:r w:rsidR="00872C58" w:rsidRPr="00301E8A">
        <w:rPr>
          <w:rFonts w:ascii="Helvetica" w:hAnsi="Helvetica" w:cs="Helvetica"/>
          <w:sz w:val="18"/>
          <w:szCs w:val="18"/>
        </w:rPr>
        <w:t xml:space="preserve"> and </w:t>
      </w:r>
      <w:r w:rsidRPr="00301E8A">
        <w:rPr>
          <w:rFonts w:ascii="Helvetica" w:hAnsi="Helvetica" w:cs="Helvetica"/>
          <w:sz w:val="18"/>
          <w:szCs w:val="18"/>
        </w:rPr>
        <w:t xml:space="preserve">8.0% p.a. while </w:t>
      </w:r>
      <w:r w:rsidR="00420E14" w:rsidRPr="00301E8A">
        <w:rPr>
          <w:rFonts w:ascii="Helvetica" w:hAnsi="Helvetica" w:cs="Helvetica"/>
          <w:sz w:val="18"/>
          <w:szCs w:val="18"/>
        </w:rPr>
        <w:t xml:space="preserve">equities allocation </w:t>
      </w:r>
      <w:r w:rsidRPr="00301E8A">
        <w:rPr>
          <w:rFonts w:ascii="Helvetica" w:hAnsi="Helvetica" w:cs="Helvetica"/>
          <w:sz w:val="18"/>
          <w:szCs w:val="18"/>
        </w:rPr>
        <w:t>aims to be higher than 80%. Portfolio turnover is targeted to range between 40</w:t>
      </w:r>
      <w:r w:rsidR="00872C58" w:rsidRPr="00301E8A">
        <w:rPr>
          <w:rFonts w:ascii="Helvetica" w:hAnsi="Helvetica" w:cs="Helvetica"/>
          <w:sz w:val="18"/>
          <w:szCs w:val="18"/>
        </w:rPr>
        <w:t xml:space="preserve"> and </w:t>
      </w:r>
      <w:r w:rsidRPr="00301E8A">
        <w:rPr>
          <w:rFonts w:ascii="Helvetica" w:hAnsi="Helvetica" w:cs="Helvetica"/>
          <w:sz w:val="18"/>
          <w:szCs w:val="18"/>
        </w:rPr>
        <w:t>80% p</w:t>
      </w:r>
      <w:r w:rsidR="00B02558" w:rsidRPr="00301E8A">
        <w:rPr>
          <w:rFonts w:ascii="Helvetica" w:hAnsi="Helvetica" w:cs="Helvetica"/>
          <w:sz w:val="18"/>
          <w:szCs w:val="18"/>
        </w:rPr>
        <w:t>.</w:t>
      </w:r>
      <w:r w:rsidRPr="00301E8A">
        <w:rPr>
          <w:rFonts w:ascii="Helvetica" w:hAnsi="Helvetica" w:cs="Helvetica"/>
          <w:sz w:val="18"/>
          <w:szCs w:val="18"/>
        </w:rPr>
        <w:t>a.</w:t>
      </w:r>
    </w:p>
    <w:p w14:paraId="6500FE8D" w14:textId="226E71F3" w:rsidR="005C5611" w:rsidRPr="00301E8A" w:rsidRDefault="005C5611" w:rsidP="005C5611">
      <w:pPr>
        <w:autoSpaceDE w:val="0"/>
        <w:autoSpaceDN w:val="0"/>
        <w:adjustRightInd w:val="0"/>
        <w:spacing w:after="0" w:line="240" w:lineRule="auto"/>
        <w:rPr>
          <w:rFonts w:ascii="Helvetica" w:hAnsi="Helvetica" w:cs="Helvetica"/>
          <w:sz w:val="18"/>
          <w:szCs w:val="18"/>
        </w:rPr>
      </w:pPr>
    </w:p>
    <w:p w14:paraId="02162C8E" w14:textId="6DCF423F" w:rsidR="0059063B" w:rsidRPr="00301E8A" w:rsidRDefault="00437BAB" w:rsidP="005C5611">
      <w:pPr>
        <w:autoSpaceDE w:val="0"/>
        <w:autoSpaceDN w:val="0"/>
        <w:adjustRightInd w:val="0"/>
        <w:spacing w:after="0" w:line="240" w:lineRule="auto"/>
        <w:rPr>
          <w:rFonts w:ascii="Helvetica" w:hAnsi="Helvetica" w:cs="Helvetica"/>
          <w:sz w:val="18"/>
          <w:szCs w:val="18"/>
        </w:rPr>
      </w:pPr>
      <w:r w:rsidRPr="00301E8A">
        <w:rPr>
          <w:rFonts w:ascii="Helvetica" w:hAnsi="Helvetica" w:cs="Helvetica"/>
          <w:sz w:val="18"/>
          <w:szCs w:val="18"/>
        </w:rPr>
        <w:t>On a pre</w:t>
      </w:r>
      <w:r w:rsidR="00872C58" w:rsidRPr="00301E8A">
        <w:rPr>
          <w:rFonts w:ascii="Helvetica" w:hAnsi="Helvetica" w:cs="Helvetica"/>
          <w:sz w:val="18"/>
          <w:szCs w:val="18"/>
        </w:rPr>
        <w:t>-</w:t>
      </w:r>
      <w:r w:rsidR="00420E14" w:rsidRPr="00301E8A">
        <w:rPr>
          <w:rFonts w:ascii="Helvetica" w:hAnsi="Helvetica" w:cs="Helvetica"/>
          <w:sz w:val="18"/>
          <w:szCs w:val="18"/>
        </w:rPr>
        <w:t xml:space="preserve">fees and </w:t>
      </w:r>
      <w:r w:rsidRPr="00301E8A">
        <w:rPr>
          <w:rFonts w:ascii="Helvetica" w:hAnsi="Helvetica" w:cs="Helvetica"/>
          <w:sz w:val="18"/>
          <w:szCs w:val="18"/>
        </w:rPr>
        <w:t>tax basis</w:t>
      </w:r>
      <w:r w:rsidR="00420E14" w:rsidRPr="00301E8A">
        <w:rPr>
          <w:rFonts w:ascii="Helvetica" w:hAnsi="Helvetica" w:cs="Helvetica"/>
          <w:sz w:val="18"/>
          <w:szCs w:val="18"/>
        </w:rPr>
        <w:t xml:space="preserve">, </w:t>
      </w:r>
      <w:r w:rsidRPr="00301E8A">
        <w:rPr>
          <w:rFonts w:ascii="Helvetica" w:hAnsi="Helvetica" w:cs="Helvetica"/>
          <w:sz w:val="18"/>
          <w:szCs w:val="18"/>
        </w:rPr>
        <w:t xml:space="preserve">the </w:t>
      </w:r>
      <w:r w:rsidR="00420E14" w:rsidRPr="00301E8A">
        <w:rPr>
          <w:rFonts w:ascii="Helvetica" w:hAnsi="Helvetica" w:cs="Helvetica"/>
          <w:sz w:val="18"/>
          <w:szCs w:val="18"/>
        </w:rPr>
        <w:t xml:space="preserve">Portfolio </w:t>
      </w:r>
      <w:r w:rsidRPr="00301E8A">
        <w:rPr>
          <w:rFonts w:ascii="Helvetica" w:hAnsi="Helvetica" w:cs="Helvetica"/>
          <w:sz w:val="18"/>
          <w:szCs w:val="18"/>
        </w:rPr>
        <w:t xml:space="preserve">has generated over 10% p.a. of </w:t>
      </w:r>
      <w:r w:rsidR="00420E14" w:rsidRPr="00301E8A">
        <w:rPr>
          <w:rFonts w:ascii="Helvetica" w:hAnsi="Helvetica" w:cs="Helvetica"/>
          <w:sz w:val="18"/>
          <w:szCs w:val="18"/>
        </w:rPr>
        <w:t xml:space="preserve">excess returns above </w:t>
      </w:r>
      <w:r w:rsidRPr="00301E8A">
        <w:rPr>
          <w:rFonts w:ascii="Helvetica" w:hAnsi="Helvetica" w:cs="Helvetica"/>
          <w:sz w:val="18"/>
          <w:szCs w:val="18"/>
        </w:rPr>
        <w:t>the S&amp;P/ASX Small Ordinaries Accumulation Index to 31 December 2022</w:t>
      </w:r>
      <w:r w:rsidR="00CC52D2" w:rsidRPr="00301E8A">
        <w:rPr>
          <w:rFonts w:ascii="Helvetica" w:hAnsi="Helvetica" w:cs="Helvetica"/>
          <w:sz w:val="18"/>
          <w:szCs w:val="18"/>
        </w:rPr>
        <w:t xml:space="preserve"> </w:t>
      </w:r>
      <w:r w:rsidR="00872C58" w:rsidRPr="00301E8A">
        <w:rPr>
          <w:rFonts w:ascii="Helvetica" w:hAnsi="Helvetica" w:cs="Helvetica"/>
          <w:sz w:val="18"/>
          <w:szCs w:val="18"/>
        </w:rPr>
        <w:t>since the inception of the strategy on 10 January 2018</w:t>
      </w:r>
      <w:r w:rsidRPr="00301E8A">
        <w:rPr>
          <w:rFonts w:ascii="Helvetica" w:hAnsi="Helvetica" w:cs="Helvetica"/>
          <w:sz w:val="18"/>
          <w:szCs w:val="18"/>
        </w:rPr>
        <w:t>.</w:t>
      </w:r>
    </w:p>
    <w:p w14:paraId="385ED798" w14:textId="77777777" w:rsidR="005C5611" w:rsidRPr="00301E8A" w:rsidRDefault="005C5611" w:rsidP="005C5611">
      <w:pPr>
        <w:autoSpaceDE w:val="0"/>
        <w:autoSpaceDN w:val="0"/>
        <w:adjustRightInd w:val="0"/>
        <w:spacing w:after="0" w:line="240" w:lineRule="auto"/>
        <w:rPr>
          <w:rFonts w:ascii="PalatinoLinotype-Roman" w:hAnsi="PalatinoLinotype-Roman" w:cs="PalatinoLinotype-Roman"/>
          <w:sz w:val="18"/>
          <w:szCs w:val="18"/>
        </w:rPr>
      </w:pPr>
    </w:p>
    <w:p w14:paraId="4254D77D" w14:textId="77777777" w:rsidR="00E27E5D" w:rsidRPr="00301E8A" w:rsidRDefault="00E27E5D" w:rsidP="00E27E5D">
      <w:pPr>
        <w:ind w:right="-75"/>
        <w:rPr>
          <w:rFonts w:ascii="Helvetica" w:hAnsi="Helvetica"/>
          <w:b/>
          <w:bCs/>
          <w:color w:val="auto"/>
          <w:sz w:val="18"/>
          <w:szCs w:val="18"/>
        </w:rPr>
      </w:pPr>
      <w:r w:rsidRPr="00301E8A">
        <w:rPr>
          <w:rFonts w:ascii="Helvetica" w:hAnsi="Helvetica"/>
          <w:b/>
          <w:bCs/>
          <w:color w:val="auto"/>
          <w:sz w:val="18"/>
          <w:szCs w:val="18"/>
        </w:rPr>
        <w:t>Who is it suitable for?</w:t>
      </w:r>
    </w:p>
    <w:p w14:paraId="4BDBABAE" w14:textId="3DB6D98A" w:rsidR="00E27E5D" w:rsidRPr="00301E8A" w:rsidRDefault="00EA485E" w:rsidP="00E27E5D">
      <w:pPr>
        <w:ind w:right="-75"/>
        <w:rPr>
          <w:rFonts w:ascii="Helvetica" w:hAnsi="Helvetica"/>
          <w:sz w:val="18"/>
          <w:szCs w:val="18"/>
        </w:rPr>
      </w:pPr>
      <w:r w:rsidRPr="00301E8A">
        <w:rPr>
          <w:rFonts w:ascii="Helvetica" w:hAnsi="Helvetica" w:cs="Helvetica"/>
          <w:sz w:val="18"/>
          <w:szCs w:val="18"/>
        </w:rPr>
        <w:t xml:space="preserve">The </w:t>
      </w:r>
      <w:r w:rsidR="00420E14" w:rsidRPr="00301E8A">
        <w:rPr>
          <w:rFonts w:ascii="Helvetica" w:hAnsi="Helvetica" w:cs="Helvetica"/>
          <w:sz w:val="18"/>
          <w:szCs w:val="18"/>
        </w:rPr>
        <w:t xml:space="preserve">Portfolio is suitable for investors </w:t>
      </w:r>
      <w:r w:rsidRPr="00301E8A">
        <w:rPr>
          <w:rFonts w:ascii="Helvetica" w:hAnsi="Helvetica" w:cs="Helvetica"/>
          <w:sz w:val="18"/>
          <w:szCs w:val="18"/>
        </w:rPr>
        <w:t>seek</w:t>
      </w:r>
      <w:r w:rsidR="00FE0DF1" w:rsidRPr="00301E8A">
        <w:rPr>
          <w:rFonts w:ascii="Helvetica" w:hAnsi="Helvetica" w:cs="Helvetica"/>
          <w:sz w:val="18"/>
          <w:szCs w:val="18"/>
        </w:rPr>
        <w:t>ing</w:t>
      </w:r>
      <w:r w:rsidRPr="00301E8A">
        <w:rPr>
          <w:rFonts w:ascii="Helvetica" w:hAnsi="Helvetica" w:cs="Helvetica"/>
          <w:sz w:val="18"/>
          <w:szCs w:val="18"/>
        </w:rPr>
        <w:t xml:space="preserve"> to invest in a concentrated portfolio of small capitalisation Australian equities. </w:t>
      </w:r>
      <w:r w:rsidR="00CC52D2" w:rsidRPr="00301E8A">
        <w:rPr>
          <w:rFonts w:ascii="Helvetica" w:hAnsi="Helvetica"/>
          <w:sz w:val="18"/>
          <w:szCs w:val="18"/>
        </w:rPr>
        <w:t xml:space="preserve">The Portfolio is subject to equity market risks and movements (both positive and negative). Investors should be aware of, and comfortable with, the potential for the Portfolio to experience periods of negative returns. </w:t>
      </w:r>
      <w:r w:rsidRPr="00301E8A">
        <w:rPr>
          <w:rFonts w:ascii="Helvetica" w:hAnsi="Helvetica" w:cs="Helvetica"/>
          <w:sz w:val="18"/>
          <w:szCs w:val="18"/>
        </w:rPr>
        <w:t xml:space="preserve">The </w:t>
      </w:r>
      <w:r w:rsidR="00CC52D2" w:rsidRPr="00301E8A">
        <w:rPr>
          <w:rFonts w:ascii="Helvetica" w:hAnsi="Helvetica" w:cs="Helvetica"/>
          <w:sz w:val="18"/>
          <w:szCs w:val="18"/>
        </w:rPr>
        <w:t xml:space="preserve">Portfolio </w:t>
      </w:r>
      <w:r w:rsidRPr="00301E8A">
        <w:rPr>
          <w:rFonts w:ascii="Helvetica" w:hAnsi="Helvetica" w:cs="Helvetica"/>
          <w:sz w:val="18"/>
          <w:szCs w:val="18"/>
        </w:rPr>
        <w:t xml:space="preserve">is designed for </w:t>
      </w:r>
      <w:r w:rsidR="00CC52D2" w:rsidRPr="00301E8A">
        <w:rPr>
          <w:rFonts w:ascii="Helvetica" w:hAnsi="Helvetica" w:cs="Helvetica"/>
          <w:sz w:val="18"/>
          <w:szCs w:val="18"/>
        </w:rPr>
        <w:t xml:space="preserve">investors </w:t>
      </w:r>
      <w:r w:rsidRPr="00301E8A">
        <w:rPr>
          <w:rFonts w:ascii="Helvetica" w:hAnsi="Helvetica" w:cs="Helvetica"/>
          <w:sz w:val="18"/>
          <w:szCs w:val="18"/>
        </w:rPr>
        <w:t>seek</w:t>
      </w:r>
      <w:r w:rsidR="00CC52D2" w:rsidRPr="00301E8A">
        <w:rPr>
          <w:rFonts w:ascii="Helvetica" w:hAnsi="Helvetica" w:cs="Helvetica"/>
          <w:sz w:val="18"/>
          <w:szCs w:val="18"/>
        </w:rPr>
        <w:t>ing</w:t>
      </w:r>
      <w:r w:rsidRPr="00301E8A">
        <w:rPr>
          <w:rFonts w:ascii="Helvetica" w:hAnsi="Helvetica" w:cs="Helvetica"/>
          <w:sz w:val="18"/>
          <w:szCs w:val="18"/>
        </w:rPr>
        <w:t xml:space="preserve"> a portfolio focused on </w:t>
      </w:r>
      <w:r w:rsidR="00CC52D2" w:rsidRPr="00301E8A">
        <w:rPr>
          <w:rFonts w:ascii="Helvetica" w:hAnsi="Helvetica" w:cs="Helvetica"/>
          <w:sz w:val="18"/>
          <w:szCs w:val="18"/>
        </w:rPr>
        <w:t xml:space="preserve">providing </w:t>
      </w:r>
      <w:r w:rsidRPr="00301E8A">
        <w:rPr>
          <w:rFonts w:ascii="Helvetica" w:hAnsi="Helvetica" w:cs="Helvetica"/>
          <w:sz w:val="18"/>
          <w:szCs w:val="18"/>
        </w:rPr>
        <w:t>capital growth with less focus on generating income and are prepared to accept higher volatility in pursuit of higher growth</w:t>
      </w:r>
      <w:r w:rsidRPr="00301E8A">
        <w:t>.</w:t>
      </w:r>
      <w:r w:rsidRPr="00301E8A" w:rsidDel="00EA485E">
        <w:rPr>
          <w:rFonts w:ascii="Helvetica" w:hAnsi="Helvetica"/>
          <w:sz w:val="18"/>
          <w:szCs w:val="18"/>
        </w:rPr>
        <w:t xml:space="preserve"> </w:t>
      </w:r>
    </w:p>
    <w:p w14:paraId="455600D0" w14:textId="77777777" w:rsidR="00E27E5D" w:rsidRPr="00301E8A" w:rsidRDefault="00E27E5D" w:rsidP="00E27E5D">
      <w:pPr>
        <w:ind w:right="-75"/>
        <w:rPr>
          <w:rFonts w:ascii="Helvetica" w:hAnsi="Helvetica"/>
          <w:b/>
          <w:bCs/>
          <w:color w:val="auto"/>
          <w:sz w:val="18"/>
          <w:szCs w:val="18"/>
        </w:rPr>
      </w:pPr>
      <w:r w:rsidRPr="00301E8A">
        <w:rPr>
          <w:rFonts w:ascii="Helvetica" w:hAnsi="Helvetica"/>
          <w:b/>
          <w:bCs/>
          <w:color w:val="auto"/>
          <w:sz w:val="18"/>
          <w:szCs w:val="18"/>
        </w:rPr>
        <w:t>About the manager</w:t>
      </w:r>
    </w:p>
    <w:p w14:paraId="0F69F3CC" w14:textId="2AC44DC3" w:rsidR="00E27E5D" w:rsidRPr="00301E8A" w:rsidRDefault="0031338F" w:rsidP="00E27E5D">
      <w:pPr>
        <w:ind w:right="-75"/>
        <w:rPr>
          <w:rFonts w:ascii="Helvetica" w:hAnsi="Helvetica" w:cs="Helvetica"/>
          <w:sz w:val="18"/>
          <w:szCs w:val="18"/>
        </w:rPr>
      </w:pPr>
      <w:r w:rsidRPr="00301E8A">
        <w:rPr>
          <w:rFonts w:ascii="Helvetica" w:hAnsi="Helvetica" w:cs="Helvetica"/>
          <w:sz w:val="18"/>
          <w:szCs w:val="18"/>
        </w:rPr>
        <w:t>Founded in 2001, DNR Capital is an Australian investment management company that delivers client-focused, quality, investment solutions to institutions, advisers</w:t>
      </w:r>
      <w:r w:rsidR="00591645" w:rsidRPr="00301E8A">
        <w:rPr>
          <w:rFonts w:ascii="Helvetica" w:hAnsi="Helvetica" w:cs="Helvetica"/>
          <w:sz w:val="18"/>
          <w:szCs w:val="18"/>
        </w:rPr>
        <w:t>,</w:t>
      </w:r>
      <w:r w:rsidRPr="00301E8A">
        <w:rPr>
          <w:rFonts w:ascii="Helvetica" w:hAnsi="Helvetica" w:cs="Helvetica"/>
          <w:sz w:val="18"/>
          <w:szCs w:val="18"/>
        </w:rPr>
        <w:t xml:space="preserve"> and individual investors. DNR Capital believes a focus on investing in quality companies will enhance returns through economic cycles when combined with a thorough valuation overlay. </w:t>
      </w:r>
    </w:p>
    <w:p w14:paraId="6EBA907B" w14:textId="77777777" w:rsidR="00E27E5D" w:rsidRPr="00591645" w:rsidRDefault="00E27E5D" w:rsidP="00E27E5D">
      <w:pPr>
        <w:ind w:right="-75"/>
        <w:rPr>
          <w:rFonts w:ascii="Helvetica" w:hAnsi="Helvetica"/>
          <w:b/>
          <w:bCs/>
          <w:color w:val="2B41B1"/>
          <w:sz w:val="18"/>
          <w:szCs w:val="18"/>
        </w:rPr>
      </w:pPr>
      <w:r w:rsidRPr="00591645">
        <w:rPr>
          <w:rFonts w:ascii="Helvetica" w:hAnsi="Helvetica"/>
          <w:b/>
          <w:bCs/>
          <w:color w:val="2B41B1"/>
          <w:sz w:val="18"/>
          <w:szCs w:val="18"/>
        </w:rPr>
        <w:t>RECOMMENDATION</w:t>
      </w:r>
    </w:p>
    <w:p w14:paraId="0645A171" w14:textId="796EAADA" w:rsidR="00BE6FA9" w:rsidRPr="00793596" w:rsidRDefault="00E27E5D" w:rsidP="00E27E5D">
      <w:pPr>
        <w:ind w:right="-75"/>
        <w:rPr>
          <w:rFonts w:ascii="Helvetica" w:hAnsi="Helvetica"/>
          <w:sz w:val="18"/>
          <w:szCs w:val="18"/>
        </w:rPr>
      </w:pPr>
      <w:r w:rsidRPr="00591645">
        <w:rPr>
          <w:rFonts w:ascii="Helvetica" w:hAnsi="Helvetica"/>
          <w:sz w:val="18"/>
          <w:szCs w:val="18"/>
        </w:rPr>
        <w:t xml:space="preserve">I have recommended including the </w:t>
      </w:r>
      <w:r w:rsidR="0031338F" w:rsidRPr="00591645">
        <w:rPr>
          <w:rFonts w:ascii="Helvetica" w:hAnsi="Helvetica"/>
          <w:b/>
          <w:bCs/>
          <w:sz w:val="18"/>
          <w:szCs w:val="18"/>
        </w:rPr>
        <w:t xml:space="preserve">DNR Capital </w:t>
      </w:r>
      <w:r w:rsidR="00CC52D2" w:rsidRPr="00591645">
        <w:rPr>
          <w:rFonts w:ascii="Helvetica" w:hAnsi="Helvetica"/>
          <w:b/>
          <w:bCs/>
          <w:sz w:val="18"/>
          <w:szCs w:val="18"/>
        </w:rPr>
        <w:t xml:space="preserve">Australian </w:t>
      </w:r>
      <w:r w:rsidR="0031338F" w:rsidRPr="00591645">
        <w:rPr>
          <w:rFonts w:ascii="Helvetica" w:hAnsi="Helvetica"/>
          <w:b/>
          <w:bCs/>
          <w:sz w:val="18"/>
          <w:szCs w:val="18"/>
        </w:rPr>
        <w:t xml:space="preserve">Emerging Companies Portfolio </w:t>
      </w:r>
      <w:r w:rsidRPr="00591645">
        <w:rPr>
          <w:rFonts w:ascii="Helvetica" w:hAnsi="Helvetica"/>
          <w:sz w:val="18"/>
          <w:szCs w:val="18"/>
        </w:rPr>
        <w:t xml:space="preserve">in your investment bond portfolio which Generation Life will be using as a replacement for the </w:t>
      </w:r>
      <w:r w:rsidR="0077334F" w:rsidRPr="00591645">
        <w:rPr>
          <w:rFonts w:ascii="Helvetica" w:hAnsi="Helvetica"/>
          <w:sz w:val="18"/>
          <w:szCs w:val="18"/>
        </w:rPr>
        <w:t>BlackRock High Conviction</w:t>
      </w:r>
      <w:r w:rsidR="0077334F" w:rsidRPr="0077334F">
        <w:rPr>
          <w:rFonts w:ascii="Helvetica" w:hAnsi="Helvetica"/>
          <w:sz w:val="18"/>
          <w:szCs w:val="18"/>
        </w:rPr>
        <w:t xml:space="preserve"> Australian Equity Fund</w:t>
      </w:r>
      <w:r w:rsidR="00FE0DF1">
        <w:rPr>
          <w:rFonts w:ascii="Helvetica" w:hAnsi="Helvetica"/>
          <w:sz w:val="18"/>
          <w:szCs w:val="18"/>
        </w:rPr>
        <w:t xml:space="preserve"> strategy</w:t>
      </w:r>
      <w:r w:rsidRPr="00793596">
        <w:rPr>
          <w:rFonts w:ascii="Helvetica" w:hAnsi="Helvetica"/>
          <w:sz w:val="18"/>
          <w:szCs w:val="18"/>
        </w:rPr>
        <w:t>.</w:t>
      </w:r>
      <w:bookmarkEnd w:id="0"/>
      <w:r w:rsidRPr="00793596">
        <w:rPr>
          <w:rFonts w:ascii="Helvetica" w:hAnsi="Helvetica"/>
          <w:sz w:val="18"/>
          <w:szCs w:val="18"/>
        </w:rPr>
        <w:t> </w:t>
      </w:r>
    </w:p>
    <w:bookmarkEnd w:id="1"/>
    <w:p w14:paraId="210EFBDA" w14:textId="77777777" w:rsidR="00BE6FA9" w:rsidRPr="00793596" w:rsidRDefault="00BE6FA9">
      <w:pPr>
        <w:spacing w:after="0" w:line="240" w:lineRule="auto"/>
        <w:rPr>
          <w:rFonts w:ascii="Helvetica" w:hAnsi="Helvetica"/>
          <w:sz w:val="18"/>
          <w:szCs w:val="18"/>
        </w:rPr>
      </w:pPr>
      <w:r w:rsidRPr="00793596">
        <w:rPr>
          <w:rFonts w:ascii="Helvetica" w:hAnsi="Helvetica"/>
          <w:sz w:val="18"/>
          <w:szCs w:val="18"/>
        </w:rPr>
        <w:br w:type="page"/>
      </w:r>
    </w:p>
    <w:p w14:paraId="1A957E59" w14:textId="357CB9A7" w:rsidR="00BA1D9F" w:rsidRPr="00263B2F" w:rsidRDefault="00B538D1" w:rsidP="003D1DDC">
      <w:pPr>
        <w:spacing w:before="120" w:after="0"/>
        <w:rPr>
          <w:rFonts w:ascii="Helvetica" w:hAnsi="Helvetica" w:cs="Arial"/>
          <w:b/>
          <w:bCs/>
          <w:color w:val="auto"/>
          <w:sz w:val="28"/>
          <w:szCs w:val="28"/>
        </w:rPr>
      </w:pPr>
      <w:r w:rsidRPr="00793596">
        <w:rPr>
          <w:rFonts w:ascii="Helvetica" w:eastAsiaTheme="majorEastAsia" w:hAnsi="Helvetica" w:cstheme="majorBidi"/>
          <w:color w:val="5E5D5D"/>
          <w:sz w:val="32"/>
          <w:szCs w:val="32"/>
        </w:rPr>
        <w:lastRenderedPageBreak/>
        <w:br/>
      </w:r>
      <w:r w:rsidR="00BA1D9F" w:rsidRPr="00263B2F">
        <w:rPr>
          <w:rFonts w:ascii="Helvetica" w:hAnsi="Helvetica" w:cs="Arial"/>
          <w:b/>
          <w:bCs/>
          <w:color w:val="auto"/>
          <w:sz w:val="28"/>
          <w:szCs w:val="28"/>
        </w:rPr>
        <w:t>Important information</w:t>
      </w:r>
    </w:p>
    <w:p w14:paraId="0F2E1B80"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The product description and sample wording above have been prepared by Generation Life Limited (‘Generation Life’) ABN 68 092 843 902 AFSL 225408 as a guide only to assist you in developing your own Statement of Advice (SoA) or Record of Advice (RoA) when providing advice about Generation Life investment bond products to your clients. </w:t>
      </w:r>
    </w:p>
    <w:p w14:paraId="76E1BBB0"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This information may not be considered complete as it does not consider your clients’ personal situation, needs or objectives – it is your responsibility to consider these aspects when formulating the SoA or RoA for your clients. Before making an investment decision or tendering of advice based on anything in this document, you need to consider whether any general advice in this document is appropriate to the particular investment needs, objectives and financial situation of the person(s) making the investment and/or receiving the advice. </w:t>
      </w:r>
    </w:p>
    <w:p w14:paraId="4CEA4600"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This document may contain general advice in relation to financial products. Generation Life is not authorised to provide personal advice and accordingly has not considered any individual person’s financial situation, needs or objectives. Generation Life is not responsible for any personal advice you provide, even if it is based on this document. </w:t>
      </w:r>
    </w:p>
    <w:p w14:paraId="528C399A"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 xml:space="preserve">It is important to note that some product features may not be fully explained, some words or phrases have a specific meaning and rules may apply to the availability of certain features and options. For these reasons, this SoA or RoA should be used in conjunction with the terms and conditions set out in the Generation Life Investment Bonds Product Disclosure Statement (PDS). </w:t>
      </w:r>
    </w:p>
    <w:p w14:paraId="688AAD59" w14:textId="6858322C" w:rsidR="003D61F5" w:rsidRPr="00793596" w:rsidRDefault="003D61F5" w:rsidP="003D61F5">
      <w:pPr>
        <w:ind w:right="-75"/>
        <w:rPr>
          <w:rFonts w:ascii="Helvetica" w:hAnsi="Helvetica"/>
          <w:sz w:val="18"/>
          <w:szCs w:val="18"/>
        </w:rPr>
      </w:pPr>
      <w:r w:rsidRPr="00793596">
        <w:rPr>
          <w:rFonts w:ascii="Helvetica" w:hAnsi="Helvetica"/>
          <w:sz w:val="18"/>
          <w:szCs w:val="18"/>
        </w:rPr>
        <w:t>Should you choose to use all or part of this template to fit with your SoA or RoA, this is at your discretion. The law applying to SOAs and RoAs is subject to amendment and reinterpretation at any time. This document is based on information from the PDS.</w:t>
      </w:r>
    </w:p>
    <w:p w14:paraId="2B291875" w14:textId="77777777" w:rsidR="003D61F5" w:rsidRPr="00793596" w:rsidRDefault="003D61F5" w:rsidP="003D61F5">
      <w:pPr>
        <w:ind w:right="-75"/>
        <w:rPr>
          <w:rFonts w:ascii="Helvetica" w:hAnsi="Helvetica"/>
          <w:sz w:val="18"/>
          <w:szCs w:val="18"/>
        </w:rPr>
      </w:pPr>
      <w:r w:rsidRPr="00793596">
        <w:rPr>
          <w:rFonts w:ascii="Helvetica" w:hAnsi="Helvetica"/>
          <w:sz w:val="18"/>
          <w:szCs w:val="18"/>
        </w:rPr>
        <w:t>The document contains references to financial products issued by Generation Life in its capacity as a life insurance company under the Life Insurance Act 1995 and as the issuer of the interests in Generation Life Investment Bonds. This document does not constitute an offer of interests in the Investment Bonds. Such offers will only be made in a copy of the PDS and anyone wishing to acquire interests in the Investment Bonds will need to complete the application form accompanying the PDS.</w:t>
      </w:r>
    </w:p>
    <w:p w14:paraId="629C1446" w14:textId="0A4318F1" w:rsidR="003D61F5" w:rsidRPr="00793596" w:rsidRDefault="003D61F5" w:rsidP="003D61F5">
      <w:pPr>
        <w:ind w:right="-75"/>
        <w:rPr>
          <w:rFonts w:ascii="Helvetica" w:hAnsi="Helvetica"/>
          <w:sz w:val="18"/>
          <w:szCs w:val="18"/>
        </w:rPr>
      </w:pPr>
      <w:r w:rsidRPr="00793596">
        <w:rPr>
          <w:rFonts w:ascii="Helvetica" w:hAnsi="Helvetica"/>
          <w:sz w:val="18"/>
          <w:szCs w:val="18"/>
        </w:rPr>
        <w:t>Generation Life believes that any advice and information in this document is accurate and reliable, but no warranties of accuracy, reliability or completeness are given (except insofar as liability under any statute cannot be excluded). No responsibility for any errors or omissions or any negligence is accepted by Generation Life or any of its directors, employees</w:t>
      </w:r>
      <w:r w:rsidR="00591645">
        <w:rPr>
          <w:rFonts w:ascii="Helvetica" w:hAnsi="Helvetica"/>
          <w:sz w:val="18"/>
          <w:szCs w:val="18"/>
        </w:rPr>
        <w:t>,</w:t>
      </w:r>
      <w:r w:rsidRPr="00793596">
        <w:rPr>
          <w:rFonts w:ascii="Helvetica" w:hAnsi="Helvetica"/>
          <w:sz w:val="18"/>
          <w:szCs w:val="18"/>
        </w:rPr>
        <w:t xml:space="preserve"> or agents.</w:t>
      </w:r>
    </w:p>
    <w:p w14:paraId="003EBC92" w14:textId="77777777" w:rsidR="00E27E5D" w:rsidRPr="00793596" w:rsidRDefault="00E27E5D" w:rsidP="00E27E5D">
      <w:pPr>
        <w:ind w:right="-75"/>
        <w:rPr>
          <w:rFonts w:ascii="Helvetica" w:hAnsi="Helvetica"/>
          <w:sz w:val="18"/>
          <w:szCs w:val="18"/>
        </w:rPr>
      </w:pPr>
    </w:p>
    <w:p w14:paraId="59549971" w14:textId="689DE040" w:rsidR="001611CE" w:rsidRDefault="001611CE" w:rsidP="00BB1C74">
      <w:pPr>
        <w:rPr>
          <w:rFonts w:ascii="Helvetica" w:hAnsi="Helvetica"/>
          <w:sz w:val="18"/>
          <w:szCs w:val="18"/>
        </w:rPr>
      </w:pPr>
    </w:p>
    <w:p w14:paraId="0BB0F07D" w14:textId="502A0E40" w:rsidR="00A7221D" w:rsidRDefault="00A7221D" w:rsidP="00BB1C74">
      <w:pPr>
        <w:rPr>
          <w:rFonts w:ascii="Helvetica" w:hAnsi="Helvetica"/>
          <w:sz w:val="18"/>
          <w:szCs w:val="18"/>
        </w:rPr>
      </w:pPr>
    </w:p>
    <w:p w14:paraId="78718417" w14:textId="54C9DC2E" w:rsidR="00A7221D" w:rsidRDefault="00A7221D" w:rsidP="00BB1C74">
      <w:pPr>
        <w:rPr>
          <w:rFonts w:ascii="Helvetica" w:hAnsi="Helvetica"/>
          <w:sz w:val="18"/>
          <w:szCs w:val="18"/>
        </w:rPr>
      </w:pPr>
    </w:p>
    <w:p w14:paraId="5F10BA49" w14:textId="77777777" w:rsidR="00A7221D" w:rsidRPr="00793596" w:rsidRDefault="00A7221D" w:rsidP="00BB1C74">
      <w:pPr>
        <w:rPr>
          <w:rFonts w:ascii="Helvetica" w:hAnsi="Helvetica"/>
          <w:sz w:val="18"/>
          <w:szCs w:val="18"/>
        </w:rPr>
      </w:pPr>
    </w:p>
    <w:p w14:paraId="6260EB24" w14:textId="3B29BC1D" w:rsidR="00BE6FA9" w:rsidRPr="00793596" w:rsidRDefault="00BE6FA9" w:rsidP="00BB1C74">
      <w:pPr>
        <w:rPr>
          <w:rFonts w:ascii="Helvetica" w:hAnsi="Helvetica"/>
          <w:sz w:val="18"/>
          <w:szCs w:val="18"/>
        </w:rPr>
      </w:pPr>
    </w:p>
    <w:p w14:paraId="4B227DED" w14:textId="0545BB54" w:rsidR="00BE6FA9" w:rsidRPr="00793596" w:rsidRDefault="00BE6FA9" w:rsidP="00BB1C74">
      <w:pPr>
        <w:rPr>
          <w:rFonts w:ascii="Helvetica" w:hAnsi="Helvetica"/>
          <w:sz w:val="18"/>
          <w:szCs w:val="18"/>
        </w:rPr>
      </w:pPr>
    </w:p>
    <w:p w14:paraId="5F302AE7" w14:textId="55EAD242" w:rsidR="00BE6FA9" w:rsidRPr="00793596" w:rsidRDefault="00BE6FA9" w:rsidP="00BB1C74">
      <w:pPr>
        <w:rPr>
          <w:rFonts w:ascii="Helvetica" w:hAnsi="Helvetica"/>
          <w:sz w:val="18"/>
          <w:szCs w:val="18"/>
        </w:rPr>
      </w:pPr>
    </w:p>
    <w:p w14:paraId="2C910EDC" w14:textId="53F3E271" w:rsidR="00BE6FA9" w:rsidRPr="00793596" w:rsidRDefault="00BE6FA9" w:rsidP="00BB1C74">
      <w:pPr>
        <w:rPr>
          <w:rFonts w:ascii="Helvetica" w:hAnsi="Helvetica"/>
          <w:sz w:val="18"/>
          <w:szCs w:val="18"/>
        </w:rPr>
      </w:pPr>
    </w:p>
    <w:p w14:paraId="08B6B406" w14:textId="346CE8C6" w:rsidR="003D61F5" w:rsidRPr="00793596" w:rsidRDefault="003D61F5" w:rsidP="00BB1C74">
      <w:pPr>
        <w:rPr>
          <w:rFonts w:ascii="Helvetica" w:hAnsi="Helvetica"/>
          <w:sz w:val="18"/>
          <w:szCs w:val="18"/>
        </w:rPr>
      </w:pPr>
    </w:p>
    <w:p w14:paraId="4FEAB810" w14:textId="77777777" w:rsidR="00BE6FA9" w:rsidRPr="00793596" w:rsidRDefault="00BE6FA9" w:rsidP="00BB1C74">
      <w:pPr>
        <w:rPr>
          <w:rFonts w:ascii="Helvetica" w:hAnsi="Helvetica"/>
          <w:sz w:val="18"/>
          <w:szCs w:val="18"/>
        </w:rPr>
      </w:pPr>
    </w:p>
    <w:tbl>
      <w:tblPr>
        <w:tblStyle w:val="TableGrid"/>
        <w:tblpPr w:leftFromText="180" w:rightFromText="180" w:vertAnchor="text" w:horzAnchor="margin" w:tblpY="195"/>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696"/>
        <w:gridCol w:w="3261"/>
        <w:gridCol w:w="1701"/>
        <w:gridCol w:w="3543"/>
      </w:tblGrid>
      <w:tr w:rsidR="00E96EC1" w:rsidRPr="00793596" w14:paraId="486C2B0A" w14:textId="77777777" w:rsidTr="00E96EC1">
        <w:tc>
          <w:tcPr>
            <w:tcW w:w="1696" w:type="dxa"/>
            <w:tcBorders>
              <w:top w:val="single" w:sz="2" w:space="0" w:color="A3A3A3"/>
            </w:tcBorders>
          </w:tcPr>
          <w:p w14:paraId="4EBE72CA" w14:textId="0E69F76C" w:rsidR="00E96EC1" w:rsidRPr="00793596" w:rsidRDefault="00BB4208" w:rsidP="00E96EC1">
            <w:pPr>
              <w:pStyle w:val="TableHeading"/>
              <w:rPr>
                <w:rFonts w:ascii="Helvetica" w:hAnsi="Helvetica"/>
                <w:sz w:val="18"/>
                <w:szCs w:val="18"/>
              </w:rPr>
            </w:pPr>
            <w:r w:rsidRPr="00793596">
              <w:rPr>
                <w:rFonts w:ascii="Helvetica" w:hAnsi="Helvetica"/>
                <w:sz w:val="18"/>
                <w:szCs w:val="18"/>
              </w:rPr>
              <w:t>Contact us</w:t>
            </w:r>
          </w:p>
        </w:tc>
        <w:tc>
          <w:tcPr>
            <w:tcW w:w="3261" w:type="dxa"/>
            <w:tcBorders>
              <w:top w:val="single" w:sz="2" w:space="0" w:color="A3A3A3"/>
            </w:tcBorders>
          </w:tcPr>
          <w:p w14:paraId="7B469E80" w14:textId="77777777" w:rsidR="00E96EC1" w:rsidRPr="00793596" w:rsidRDefault="00E96EC1" w:rsidP="00E96EC1">
            <w:pPr>
              <w:pStyle w:val="TableHeading"/>
              <w:rPr>
                <w:rFonts w:ascii="Helvetica" w:hAnsi="Helvetica"/>
                <w:sz w:val="18"/>
                <w:szCs w:val="18"/>
              </w:rPr>
            </w:pPr>
          </w:p>
        </w:tc>
        <w:tc>
          <w:tcPr>
            <w:tcW w:w="1701" w:type="dxa"/>
            <w:tcBorders>
              <w:top w:val="single" w:sz="2" w:space="0" w:color="A3A3A3"/>
            </w:tcBorders>
          </w:tcPr>
          <w:p w14:paraId="5F3B7CA6" w14:textId="52815400" w:rsidR="00E96EC1" w:rsidRPr="00793596" w:rsidRDefault="00E96EC1" w:rsidP="00E96EC1">
            <w:pPr>
              <w:pStyle w:val="TableHeading"/>
              <w:rPr>
                <w:rFonts w:ascii="Helvetica" w:hAnsi="Helvetica"/>
                <w:sz w:val="18"/>
                <w:szCs w:val="18"/>
              </w:rPr>
            </w:pPr>
          </w:p>
        </w:tc>
        <w:tc>
          <w:tcPr>
            <w:tcW w:w="3543" w:type="dxa"/>
            <w:tcBorders>
              <w:top w:val="single" w:sz="2" w:space="0" w:color="A3A3A3"/>
            </w:tcBorders>
          </w:tcPr>
          <w:p w14:paraId="0829D8BB" w14:textId="77777777" w:rsidR="00E96EC1" w:rsidRPr="00793596" w:rsidRDefault="00E96EC1" w:rsidP="00E96EC1">
            <w:pPr>
              <w:pStyle w:val="TableHeading"/>
              <w:rPr>
                <w:rFonts w:ascii="Helvetica" w:hAnsi="Helvetica"/>
                <w:sz w:val="18"/>
                <w:szCs w:val="18"/>
              </w:rPr>
            </w:pPr>
          </w:p>
        </w:tc>
      </w:tr>
      <w:tr w:rsidR="00E96EC1" w:rsidRPr="00A7221D" w14:paraId="1238982B" w14:textId="77777777" w:rsidTr="00E96EC1">
        <w:tc>
          <w:tcPr>
            <w:tcW w:w="1696" w:type="dxa"/>
          </w:tcPr>
          <w:p w14:paraId="3ED9411A" w14:textId="77777777" w:rsidR="00E96EC1" w:rsidRPr="00793596" w:rsidRDefault="00E96EC1" w:rsidP="00E96EC1">
            <w:pPr>
              <w:pStyle w:val="TableHeading2"/>
              <w:rPr>
                <w:rFonts w:ascii="Helvetica" w:hAnsi="Helvetica"/>
                <w:sz w:val="18"/>
                <w:szCs w:val="18"/>
              </w:rPr>
            </w:pPr>
            <w:r w:rsidRPr="00793596">
              <w:rPr>
                <w:rFonts w:ascii="Helvetica" w:hAnsi="Helvetica"/>
                <w:sz w:val="18"/>
                <w:szCs w:val="18"/>
              </w:rPr>
              <w:t xml:space="preserve">Phone </w:t>
            </w:r>
          </w:p>
          <w:p w14:paraId="78BC05CE" w14:textId="2FA354A5" w:rsidR="00BB4208" w:rsidRPr="00793596" w:rsidRDefault="00BB4208" w:rsidP="00E96EC1">
            <w:pPr>
              <w:pStyle w:val="TableHeading2"/>
              <w:rPr>
                <w:rFonts w:ascii="Helvetica" w:hAnsi="Helvetica"/>
                <w:sz w:val="18"/>
                <w:szCs w:val="18"/>
              </w:rPr>
            </w:pPr>
            <w:r w:rsidRPr="00793596">
              <w:rPr>
                <w:rFonts w:ascii="Helvetica" w:hAnsi="Helvetica"/>
                <w:sz w:val="18"/>
                <w:szCs w:val="18"/>
              </w:rPr>
              <w:t>Email</w:t>
            </w:r>
          </w:p>
        </w:tc>
        <w:tc>
          <w:tcPr>
            <w:tcW w:w="3261" w:type="dxa"/>
          </w:tcPr>
          <w:p w14:paraId="28CC40A8" w14:textId="1931D73F" w:rsidR="00E96EC1" w:rsidRPr="00793596" w:rsidRDefault="00E96EC1" w:rsidP="00A7221D">
            <w:pPr>
              <w:pStyle w:val="TableHeading2"/>
              <w:rPr>
                <w:rFonts w:ascii="Helvetica" w:hAnsi="Helvetica"/>
                <w:sz w:val="18"/>
                <w:szCs w:val="18"/>
              </w:rPr>
            </w:pPr>
            <w:r w:rsidRPr="00793596">
              <w:rPr>
                <w:rFonts w:ascii="Helvetica" w:hAnsi="Helvetica"/>
                <w:sz w:val="18"/>
                <w:szCs w:val="18"/>
              </w:rPr>
              <w:t xml:space="preserve">1800 </w:t>
            </w:r>
            <w:r w:rsidR="00591645">
              <w:rPr>
                <w:rFonts w:ascii="Helvetica" w:hAnsi="Helvetica"/>
                <w:sz w:val="18"/>
                <w:szCs w:val="18"/>
              </w:rPr>
              <w:t>333 657</w:t>
            </w:r>
          </w:p>
          <w:p w14:paraId="6037B49B" w14:textId="5BEE7803" w:rsidR="00BB4208" w:rsidRPr="00793596" w:rsidRDefault="00BB4208" w:rsidP="00A7221D">
            <w:pPr>
              <w:pStyle w:val="TableHeading2"/>
              <w:rPr>
                <w:rFonts w:ascii="Helvetica" w:hAnsi="Helvetica"/>
                <w:sz w:val="18"/>
                <w:szCs w:val="18"/>
              </w:rPr>
            </w:pPr>
            <w:r w:rsidRPr="00793596">
              <w:rPr>
                <w:rFonts w:ascii="Helvetica" w:hAnsi="Helvetica"/>
                <w:sz w:val="18"/>
                <w:szCs w:val="18"/>
              </w:rPr>
              <w:t>enquiry@genlife.com.au</w:t>
            </w:r>
          </w:p>
        </w:tc>
        <w:tc>
          <w:tcPr>
            <w:tcW w:w="1701" w:type="dxa"/>
          </w:tcPr>
          <w:p w14:paraId="5418996A" w14:textId="2F369687" w:rsidR="00E96EC1" w:rsidRPr="00793596" w:rsidRDefault="00BB4208" w:rsidP="00E96EC1">
            <w:pPr>
              <w:pStyle w:val="TableHeading2"/>
              <w:rPr>
                <w:rFonts w:ascii="Helvetica" w:hAnsi="Helvetica"/>
                <w:sz w:val="18"/>
                <w:szCs w:val="18"/>
              </w:rPr>
            </w:pPr>
            <w:r w:rsidRPr="00793596">
              <w:rPr>
                <w:rFonts w:ascii="Helvetica" w:hAnsi="Helvetica"/>
                <w:sz w:val="18"/>
                <w:szCs w:val="18"/>
              </w:rPr>
              <w:t xml:space="preserve">Postal </w:t>
            </w:r>
            <w:r w:rsidR="00E96EC1" w:rsidRPr="00793596">
              <w:rPr>
                <w:rFonts w:ascii="Helvetica" w:hAnsi="Helvetica"/>
                <w:sz w:val="18"/>
                <w:szCs w:val="18"/>
              </w:rPr>
              <w:t xml:space="preserve">Address </w:t>
            </w:r>
          </w:p>
        </w:tc>
        <w:tc>
          <w:tcPr>
            <w:tcW w:w="3543" w:type="dxa"/>
          </w:tcPr>
          <w:p w14:paraId="667EE9CC" w14:textId="77777777" w:rsidR="00BB4208" w:rsidRPr="00793596" w:rsidRDefault="00BB4208" w:rsidP="00A7221D">
            <w:pPr>
              <w:pStyle w:val="TableHeading2"/>
              <w:rPr>
                <w:rFonts w:ascii="Helvetica" w:hAnsi="Helvetica"/>
                <w:sz w:val="18"/>
                <w:szCs w:val="18"/>
              </w:rPr>
            </w:pPr>
            <w:r w:rsidRPr="00793596">
              <w:rPr>
                <w:rFonts w:ascii="Helvetica" w:hAnsi="Helvetica"/>
                <w:sz w:val="18"/>
                <w:szCs w:val="18"/>
              </w:rPr>
              <w:t xml:space="preserve">GPO Box 263 Collins Street West </w:t>
            </w:r>
          </w:p>
          <w:p w14:paraId="4EC2620E" w14:textId="2DDC27BA" w:rsidR="00E96EC1" w:rsidRPr="00793596" w:rsidRDefault="00BB4208" w:rsidP="00A7221D">
            <w:pPr>
              <w:pStyle w:val="TableHeading2"/>
              <w:rPr>
                <w:rFonts w:ascii="Helvetica" w:hAnsi="Helvetica"/>
                <w:sz w:val="18"/>
                <w:szCs w:val="18"/>
              </w:rPr>
            </w:pPr>
            <w:r w:rsidRPr="00793596">
              <w:rPr>
                <w:rFonts w:ascii="Helvetica" w:hAnsi="Helvetica"/>
                <w:sz w:val="18"/>
                <w:szCs w:val="18"/>
              </w:rPr>
              <w:t>Melbourne VIC 8007</w:t>
            </w:r>
          </w:p>
        </w:tc>
      </w:tr>
    </w:tbl>
    <w:p w14:paraId="12459F23" w14:textId="77777777" w:rsidR="00BB4208" w:rsidRPr="00A7221D" w:rsidRDefault="00BB4208" w:rsidP="00A7221D">
      <w:pPr>
        <w:pStyle w:val="TableHeading2"/>
        <w:rPr>
          <w:rFonts w:ascii="Helvetica" w:hAnsi="Helvetica"/>
          <w:sz w:val="18"/>
          <w:szCs w:val="18"/>
        </w:rPr>
      </w:pPr>
    </w:p>
    <w:sectPr w:rsidR="00BB4208" w:rsidRPr="00A7221D" w:rsidSect="001611CE">
      <w:footerReference w:type="even" r:id="rId10"/>
      <w:footerReference w:type="default" r:id="rId11"/>
      <w:type w:val="continuous"/>
      <w:pgSz w:w="11900" w:h="16840"/>
      <w:pgMar w:top="851" w:right="851" w:bottom="567" w:left="851" w:header="709"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C1FF" w14:textId="77777777" w:rsidR="00313078" w:rsidRDefault="00313078" w:rsidP="00C4539E">
      <w:pPr>
        <w:spacing w:after="0" w:line="240" w:lineRule="auto"/>
      </w:pPr>
      <w:r>
        <w:separator/>
      </w:r>
    </w:p>
  </w:endnote>
  <w:endnote w:type="continuationSeparator" w:id="0">
    <w:p w14:paraId="7C1BB457" w14:textId="77777777" w:rsidR="00313078" w:rsidRDefault="00313078" w:rsidP="00C4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A00002FF" w:usb1="5000205B" w:usb2="00000002" w:usb3="00000000" w:csb0="0000009B" w:csb1="00000000"/>
  </w:font>
  <w:font w:name="Helvetica Neue Medium">
    <w:altName w:val="Arial"/>
    <w:charset w:val="4D"/>
    <w:family w:val="swiss"/>
    <w:pitch w:val="variable"/>
    <w:sig w:usb0="A00002FF" w:usb1="5000205B" w:usb2="00000002" w:usb3="00000000" w:csb0="0000009B"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6174661"/>
      <w:docPartObj>
        <w:docPartGallery w:val="Page Numbers (Bottom of Page)"/>
        <w:docPartUnique/>
      </w:docPartObj>
    </w:sdtPr>
    <w:sdtEndPr>
      <w:rPr>
        <w:rStyle w:val="PageNumber"/>
      </w:rPr>
    </w:sdtEndPr>
    <w:sdtContent>
      <w:p w14:paraId="770D4929" w14:textId="77777777" w:rsidR="00BE6FA9" w:rsidRDefault="00BE6FA9" w:rsidP="00E06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C9531" w14:textId="77777777" w:rsidR="00BE6FA9" w:rsidRDefault="00BE6FA9" w:rsidP="004E31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2803" w14:textId="77777777" w:rsidR="00BE6FA9" w:rsidRPr="004E3152" w:rsidRDefault="00BE6FA9" w:rsidP="004E3152">
    <w:pPr>
      <w:pStyle w:val="Footer"/>
      <w:ind w:right="360"/>
      <w:rPr>
        <w:rFonts w:ascii="Helvetica Neue Medium" w:hAnsi="Helvetica Neue Medium"/>
        <w:color w:val="2B41B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D977" w14:textId="77777777" w:rsidR="00313078" w:rsidRDefault="00313078" w:rsidP="00C4539E">
      <w:pPr>
        <w:spacing w:after="0" w:line="240" w:lineRule="auto"/>
      </w:pPr>
      <w:r>
        <w:separator/>
      </w:r>
    </w:p>
  </w:footnote>
  <w:footnote w:type="continuationSeparator" w:id="0">
    <w:p w14:paraId="42264CB3" w14:textId="77777777" w:rsidR="00313078" w:rsidRDefault="00313078" w:rsidP="00C4539E">
      <w:pPr>
        <w:spacing w:after="0" w:line="240" w:lineRule="auto"/>
      </w:pPr>
      <w:r>
        <w:continuationSeparator/>
      </w:r>
    </w:p>
  </w:footnote>
  <w:footnote w:id="1">
    <w:p w14:paraId="1625AC9D" w14:textId="13323B28" w:rsidR="0003769B" w:rsidRPr="0003769B" w:rsidRDefault="0003769B">
      <w:pPr>
        <w:pStyle w:val="FootnoteText"/>
        <w:rPr>
          <w:rFonts w:ascii="Helvetica" w:hAnsi="Helvetica"/>
          <w:sz w:val="16"/>
          <w:szCs w:val="16"/>
        </w:rPr>
      </w:pPr>
      <w:r w:rsidRPr="0003769B">
        <w:rPr>
          <w:rStyle w:val="FootnoteReference"/>
          <w:rFonts w:ascii="Helvetica" w:hAnsi="Helvetica"/>
          <w:sz w:val="16"/>
          <w:szCs w:val="16"/>
        </w:rPr>
        <w:footnoteRef/>
      </w:r>
      <w:r w:rsidRPr="0003769B">
        <w:rPr>
          <w:rFonts w:ascii="Helvetica" w:hAnsi="Helvetica"/>
          <w:sz w:val="16"/>
          <w:szCs w:val="16"/>
        </w:rPr>
        <w:t xml:space="preserve"> The risk level is based on the Standard Risk Measure which allows investors to compare investment options (refer to the Product Disclosure Statement for more information about the risks of investing).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4B94"/>
    <w:multiLevelType w:val="hybridMultilevel"/>
    <w:tmpl w:val="D922A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079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D"/>
    <w:rsid w:val="00017ED5"/>
    <w:rsid w:val="000207BE"/>
    <w:rsid w:val="0003769B"/>
    <w:rsid w:val="0004423B"/>
    <w:rsid w:val="00070922"/>
    <w:rsid w:val="000726DD"/>
    <w:rsid w:val="000761EC"/>
    <w:rsid w:val="0008537A"/>
    <w:rsid w:val="000C0BA3"/>
    <w:rsid w:val="000D780C"/>
    <w:rsid w:val="0010427C"/>
    <w:rsid w:val="001214FD"/>
    <w:rsid w:val="001611CE"/>
    <w:rsid w:val="001737C8"/>
    <w:rsid w:val="001863B5"/>
    <w:rsid w:val="001A09DF"/>
    <w:rsid w:val="001E42FE"/>
    <w:rsid w:val="001F40B4"/>
    <w:rsid w:val="001F6077"/>
    <w:rsid w:val="0020627E"/>
    <w:rsid w:val="00245403"/>
    <w:rsid w:val="00263B2F"/>
    <w:rsid w:val="00276A8D"/>
    <w:rsid w:val="002E0A2F"/>
    <w:rsid w:val="002E5240"/>
    <w:rsid w:val="00301E8A"/>
    <w:rsid w:val="00313078"/>
    <w:rsid w:val="0031338F"/>
    <w:rsid w:val="003A00AF"/>
    <w:rsid w:val="003D1DDC"/>
    <w:rsid w:val="003D61F5"/>
    <w:rsid w:val="003E150A"/>
    <w:rsid w:val="00406B5D"/>
    <w:rsid w:val="00420E14"/>
    <w:rsid w:val="004349BF"/>
    <w:rsid w:val="00437BAB"/>
    <w:rsid w:val="00441A03"/>
    <w:rsid w:val="0044751F"/>
    <w:rsid w:val="004E3152"/>
    <w:rsid w:val="004F7076"/>
    <w:rsid w:val="00503FCB"/>
    <w:rsid w:val="00564E94"/>
    <w:rsid w:val="00572648"/>
    <w:rsid w:val="0057676D"/>
    <w:rsid w:val="0059063B"/>
    <w:rsid w:val="00591645"/>
    <w:rsid w:val="005C5611"/>
    <w:rsid w:val="005D1BC8"/>
    <w:rsid w:val="005E4A41"/>
    <w:rsid w:val="005F2FDB"/>
    <w:rsid w:val="006A328E"/>
    <w:rsid w:val="006C28C4"/>
    <w:rsid w:val="00746C19"/>
    <w:rsid w:val="0077334F"/>
    <w:rsid w:val="00793596"/>
    <w:rsid w:val="007C55DC"/>
    <w:rsid w:val="007D619A"/>
    <w:rsid w:val="007E20B4"/>
    <w:rsid w:val="00815C81"/>
    <w:rsid w:val="00833472"/>
    <w:rsid w:val="00872C58"/>
    <w:rsid w:val="009015A8"/>
    <w:rsid w:val="00903FF5"/>
    <w:rsid w:val="009262F6"/>
    <w:rsid w:val="009479DE"/>
    <w:rsid w:val="00A312AC"/>
    <w:rsid w:val="00A641B6"/>
    <w:rsid w:val="00A7221D"/>
    <w:rsid w:val="00A82A5F"/>
    <w:rsid w:val="00AC58B0"/>
    <w:rsid w:val="00AE7F68"/>
    <w:rsid w:val="00B02558"/>
    <w:rsid w:val="00B538D1"/>
    <w:rsid w:val="00B623F0"/>
    <w:rsid w:val="00B86474"/>
    <w:rsid w:val="00BA1D9F"/>
    <w:rsid w:val="00BB1C74"/>
    <w:rsid w:val="00BB4208"/>
    <w:rsid w:val="00BB53FF"/>
    <w:rsid w:val="00BD1918"/>
    <w:rsid w:val="00BD1D83"/>
    <w:rsid w:val="00BE6FA9"/>
    <w:rsid w:val="00C41F3D"/>
    <w:rsid w:val="00C4539E"/>
    <w:rsid w:val="00CB1408"/>
    <w:rsid w:val="00CC52D2"/>
    <w:rsid w:val="00CE2217"/>
    <w:rsid w:val="00D03FB7"/>
    <w:rsid w:val="00DC622E"/>
    <w:rsid w:val="00DE32DB"/>
    <w:rsid w:val="00E152EC"/>
    <w:rsid w:val="00E27E5D"/>
    <w:rsid w:val="00E62EED"/>
    <w:rsid w:val="00E63E48"/>
    <w:rsid w:val="00E64CA4"/>
    <w:rsid w:val="00E96EC1"/>
    <w:rsid w:val="00EA485E"/>
    <w:rsid w:val="00EC3C6C"/>
    <w:rsid w:val="00F16DC4"/>
    <w:rsid w:val="00F52A21"/>
    <w:rsid w:val="00F74BF3"/>
    <w:rsid w:val="00F84699"/>
    <w:rsid w:val="00FC2BC8"/>
    <w:rsid w:val="00FE0DF1"/>
    <w:rsid w:val="00FE349C"/>
    <w:rsid w:val="00FE6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CAD3"/>
  <w15:docId w15:val="{6292256A-9A3D-FD47-8F62-8B0C36C3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C8"/>
    <w:pPr>
      <w:spacing w:after="240" w:line="264" w:lineRule="auto"/>
    </w:pPr>
    <w:rPr>
      <w:rFonts w:ascii="Helvetica Neue" w:hAnsi="Helvetica Neue"/>
      <w:color w:val="252729"/>
      <w:sz w:val="16"/>
    </w:rPr>
  </w:style>
  <w:style w:type="paragraph" w:styleId="Heading1">
    <w:name w:val="heading 1"/>
    <w:basedOn w:val="Normal"/>
    <w:next w:val="Normal"/>
    <w:link w:val="Heading1Char"/>
    <w:uiPriority w:val="9"/>
    <w:qFormat/>
    <w:rsid w:val="00746C19"/>
    <w:pPr>
      <w:keepNext/>
      <w:keepLines/>
      <w:outlineLvl w:val="0"/>
    </w:pPr>
    <w:rPr>
      <w:rFonts w:ascii="Helvetica Neue Medium" w:eastAsiaTheme="majorEastAsia" w:hAnsi="Helvetica Neue Medium" w:cstheme="majorBidi"/>
      <w:color w:val="2B41B1"/>
      <w:sz w:val="48"/>
      <w:szCs w:val="32"/>
    </w:rPr>
  </w:style>
  <w:style w:type="paragraph" w:styleId="Heading2">
    <w:name w:val="heading 2"/>
    <w:basedOn w:val="Normal"/>
    <w:next w:val="Normal"/>
    <w:link w:val="Heading2Char"/>
    <w:uiPriority w:val="9"/>
    <w:unhideWhenUsed/>
    <w:qFormat/>
    <w:rsid w:val="00E152EC"/>
    <w:pPr>
      <w:keepNext/>
      <w:keepLines/>
      <w:spacing w:before="40" w:after="0"/>
      <w:outlineLvl w:val="1"/>
    </w:pPr>
    <w:rPr>
      <w:rFonts w:ascii="Helvetica Neue Medium" w:eastAsiaTheme="majorEastAsia" w:hAnsi="Helvetica Neue Medium" w:cstheme="majorBidi"/>
      <w:color w:val="5E5D5D"/>
      <w:sz w:val="28"/>
      <w:szCs w:val="26"/>
    </w:rPr>
  </w:style>
  <w:style w:type="paragraph" w:styleId="Heading3">
    <w:name w:val="heading 3"/>
    <w:basedOn w:val="Normal"/>
    <w:next w:val="Normal"/>
    <w:link w:val="Heading3Char"/>
    <w:uiPriority w:val="9"/>
    <w:unhideWhenUsed/>
    <w:qFormat/>
    <w:rsid w:val="00F16DC4"/>
    <w:pPr>
      <w:keepNext/>
      <w:keepLines/>
      <w:outlineLvl w:val="2"/>
    </w:pPr>
    <w:rPr>
      <w:rFonts w:ascii="Helvetica Neue Medium" w:eastAsiaTheme="majorEastAsia" w:hAnsi="Helvetica Neue Medium" w:cstheme="majorBidi"/>
      <w:color w:val="2B41B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C19"/>
    <w:rPr>
      <w:rFonts w:ascii="Helvetica Neue Medium" w:eastAsiaTheme="majorEastAsia" w:hAnsi="Helvetica Neue Medium" w:cstheme="majorBidi"/>
      <w:color w:val="2B41B1"/>
      <w:sz w:val="48"/>
      <w:szCs w:val="32"/>
    </w:rPr>
  </w:style>
  <w:style w:type="character" w:customStyle="1" w:styleId="Heading2Char">
    <w:name w:val="Heading 2 Char"/>
    <w:basedOn w:val="DefaultParagraphFont"/>
    <w:link w:val="Heading2"/>
    <w:uiPriority w:val="9"/>
    <w:rsid w:val="00E152EC"/>
    <w:rPr>
      <w:rFonts w:ascii="Helvetica Neue Medium" w:eastAsiaTheme="majorEastAsia" w:hAnsi="Helvetica Neue Medium" w:cstheme="majorBidi"/>
      <w:color w:val="5E5D5D"/>
      <w:sz w:val="28"/>
      <w:szCs w:val="26"/>
    </w:rPr>
  </w:style>
  <w:style w:type="character" w:customStyle="1" w:styleId="Heading3Char">
    <w:name w:val="Heading 3 Char"/>
    <w:basedOn w:val="DefaultParagraphFont"/>
    <w:link w:val="Heading3"/>
    <w:uiPriority w:val="9"/>
    <w:rsid w:val="00F16DC4"/>
    <w:rPr>
      <w:rFonts w:ascii="Helvetica Neue Medium" w:eastAsiaTheme="majorEastAsia" w:hAnsi="Helvetica Neue Medium" w:cstheme="majorBidi"/>
      <w:color w:val="2B41B1"/>
      <w:sz w:val="18"/>
    </w:rPr>
  </w:style>
  <w:style w:type="table" w:styleId="TableGrid">
    <w:name w:val="Table Grid"/>
    <w:basedOn w:val="TableNormal"/>
    <w:uiPriority w:val="39"/>
    <w:rsid w:val="00F1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6DC4"/>
    <w:rPr>
      <w:rFonts w:ascii="Helvetica Neue" w:hAnsi="Helvetica Neue"/>
      <w:color w:val="252729"/>
      <w:sz w:val="18"/>
    </w:rPr>
  </w:style>
  <w:style w:type="paragraph" w:customStyle="1" w:styleId="TableHeading">
    <w:name w:val="Table Heading"/>
    <w:basedOn w:val="Normal"/>
    <w:qFormat/>
    <w:rsid w:val="00572648"/>
    <w:pPr>
      <w:spacing w:after="0"/>
    </w:pPr>
    <w:rPr>
      <w:rFonts w:ascii="Helvetica Neue Medium" w:hAnsi="Helvetica Neue Medium"/>
      <w:color w:val="2B41B1"/>
      <w:szCs w:val="15"/>
    </w:rPr>
  </w:style>
  <w:style w:type="paragraph" w:customStyle="1" w:styleId="Table">
    <w:name w:val="Table"/>
    <w:basedOn w:val="Normal"/>
    <w:next w:val="Normal"/>
    <w:qFormat/>
    <w:rsid w:val="00572648"/>
    <w:pPr>
      <w:spacing w:after="0"/>
    </w:pPr>
    <w:rPr>
      <w:sz w:val="15"/>
      <w:szCs w:val="15"/>
    </w:rPr>
  </w:style>
  <w:style w:type="paragraph" w:customStyle="1" w:styleId="TableHeading2">
    <w:name w:val="Table Heading 2"/>
    <w:basedOn w:val="TableHeading"/>
    <w:qFormat/>
    <w:rsid w:val="00572648"/>
    <w:rPr>
      <w:color w:val="252729"/>
      <w:sz w:val="15"/>
    </w:rPr>
  </w:style>
  <w:style w:type="paragraph" w:styleId="FootnoteText">
    <w:name w:val="footnote text"/>
    <w:basedOn w:val="Normal"/>
    <w:link w:val="FootnoteTextChar"/>
    <w:uiPriority w:val="99"/>
    <w:semiHidden/>
    <w:unhideWhenUsed/>
    <w:rsid w:val="00C45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39E"/>
    <w:rPr>
      <w:rFonts w:ascii="Helvetica Neue" w:hAnsi="Helvetica Neue"/>
      <w:color w:val="252729"/>
      <w:sz w:val="20"/>
      <w:szCs w:val="20"/>
    </w:rPr>
  </w:style>
  <w:style w:type="character" w:styleId="FootnoteReference">
    <w:name w:val="footnote reference"/>
    <w:basedOn w:val="DefaultParagraphFont"/>
    <w:uiPriority w:val="99"/>
    <w:semiHidden/>
    <w:unhideWhenUsed/>
    <w:rsid w:val="00C4539E"/>
    <w:rPr>
      <w:vertAlign w:val="superscript"/>
    </w:rPr>
  </w:style>
  <w:style w:type="paragraph" w:customStyle="1" w:styleId="Footnote">
    <w:name w:val="Footnote"/>
    <w:basedOn w:val="Normal"/>
    <w:next w:val="Normal"/>
    <w:qFormat/>
    <w:rsid w:val="004E3152"/>
    <w:pPr>
      <w:ind w:left="170" w:right="-284" w:hanging="170"/>
    </w:pPr>
    <w:rPr>
      <w:rFonts w:cs="Times New Roman (Body CS)"/>
      <w:sz w:val="15"/>
    </w:rPr>
  </w:style>
  <w:style w:type="paragraph" w:styleId="Header">
    <w:name w:val="header"/>
    <w:basedOn w:val="Normal"/>
    <w:link w:val="HeaderChar"/>
    <w:uiPriority w:val="99"/>
    <w:unhideWhenUsed/>
    <w:rsid w:val="004E3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152"/>
    <w:rPr>
      <w:rFonts w:ascii="Helvetica Neue" w:hAnsi="Helvetica Neue"/>
      <w:color w:val="252729"/>
      <w:sz w:val="16"/>
    </w:rPr>
  </w:style>
  <w:style w:type="paragraph" w:styleId="Footer">
    <w:name w:val="footer"/>
    <w:basedOn w:val="Normal"/>
    <w:link w:val="FooterChar"/>
    <w:uiPriority w:val="99"/>
    <w:unhideWhenUsed/>
    <w:rsid w:val="004E3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152"/>
    <w:rPr>
      <w:rFonts w:ascii="Helvetica Neue" w:hAnsi="Helvetica Neue"/>
      <w:color w:val="252729"/>
      <w:sz w:val="16"/>
    </w:rPr>
  </w:style>
  <w:style w:type="character" w:styleId="PageNumber">
    <w:name w:val="page number"/>
    <w:basedOn w:val="DefaultParagraphFont"/>
    <w:uiPriority w:val="99"/>
    <w:semiHidden/>
    <w:unhideWhenUsed/>
    <w:rsid w:val="004E3152"/>
  </w:style>
  <w:style w:type="character" w:styleId="Hyperlink">
    <w:name w:val="Hyperlink"/>
    <w:basedOn w:val="DefaultParagraphFont"/>
    <w:uiPriority w:val="99"/>
    <w:unhideWhenUsed/>
    <w:rsid w:val="00833472"/>
    <w:rPr>
      <w:color w:val="0563C1" w:themeColor="hyperlink"/>
      <w:u w:val="single"/>
    </w:rPr>
  </w:style>
  <w:style w:type="character" w:styleId="FollowedHyperlink">
    <w:name w:val="FollowedHyperlink"/>
    <w:basedOn w:val="DefaultParagraphFont"/>
    <w:uiPriority w:val="99"/>
    <w:semiHidden/>
    <w:unhideWhenUsed/>
    <w:rsid w:val="00833472"/>
    <w:rPr>
      <w:color w:val="954F72" w:themeColor="followedHyperlink"/>
      <w:u w:val="single"/>
    </w:rPr>
  </w:style>
  <w:style w:type="character" w:customStyle="1" w:styleId="UnresolvedMention1">
    <w:name w:val="Unresolved Mention1"/>
    <w:basedOn w:val="DefaultParagraphFont"/>
    <w:uiPriority w:val="99"/>
    <w:semiHidden/>
    <w:unhideWhenUsed/>
    <w:rsid w:val="00833472"/>
    <w:rPr>
      <w:color w:val="808080"/>
      <w:shd w:val="clear" w:color="auto" w:fill="E6E6E6"/>
    </w:rPr>
  </w:style>
  <w:style w:type="paragraph" w:customStyle="1" w:styleId="TableParagraph">
    <w:name w:val="Table Paragraph"/>
    <w:basedOn w:val="Normal"/>
    <w:uiPriority w:val="1"/>
    <w:qFormat/>
    <w:rsid w:val="0010427C"/>
    <w:pPr>
      <w:widowControl w:val="0"/>
      <w:autoSpaceDE w:val="0"/>
      <w:autoSpaceDN w:val="0"/>
      <w:spacing w:after="0" w:line="240" w:lineRule="auto"/>
    </w:pPr>
    <w:rPr>
      <w:rFonts w:ascii="Arial" w:eastAsia="Arial" w:hAnsi="Arial" w:cs="Arial"/>
      <w:color w:val="auto"/>
      <w:sz w:val="22"/>
      <w:szCs w:val="22"/>
      <w:lang w:bidi="en-US"/>
    </w:rPr>
  </w:style>
  <w:style w:type="paragraph" w:styleId="BalloonText">
    <w:name w:val="Balloon Text"/>
    <w:basedOn w:val="Normal"/>
    <w:link w:val="BalloonTextChar"/>
    <w:uiPriority w:val="99"/>
    <w:semiHidden/>
    <w:unhideWhenUsed/>
    <w:rsid w:val="00AE7F6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E7F68"/>
    <w:rPr>
      <w:rFonts w:ascii="Tahoma" w:hAnsi="Tahoma" w:cs="Tahoma"/>
      <w:color w:val="252729"/>
      <w:sz w:val="16"/>
      <w:szCs w:val="16"/>
    </w:rPr>
  </w:style>
  <w:style w:type="character" w:customStyle="1" w:styleId="ListParagraphChar">
    <w:name w:val="List Paragraph Char"/>
    <w:basedOn w:val="DefaultParagraphFont"/>
    <w:link w:val="ListParagraph"/>
    <w:uiPriority w:val="34"/>
    <w:locked/>
    <w:rsid w:val="001E42FE"/>
  </w:style>
  <w:style w:type="paragraph" w:styleId="ListParagraph">
    <w:name w:val="List Paragraph"/>
    <w:basedOn w:val="Normal"/>
    <w:link w:val="ListParagraphChar"/>
    <w:uiPriority w:val="34"/>
    <w:qFormat/>
    <w:rsid w:val="001E42FE"/>
    <w:pPr>
      <w:spacing w:after="200" w:line="276" w:lineRule="auto"/>
      <w:ind w:left="720"/>
      <w:contextualSpacing/>
    </w:pPr>
    <w:rPr>
      <w:rFonts w:asciiTheme="minorHAnsi" w:hAnsiTheme="minorHAnsi"/>
      <w:color w:val="auto"/>
      <w:sz w:val="24"/>
    </w:rPr>
  </w:style>
  <w:style w:type="paragraph" w:styleId="BodyText">
    <w:name w:val="Body Text"/>
    <w:basedOn w:val="Normal"/>
    <w:link w:val="BodyTextChar"/>
    <w:uiPriority w:val="1"/>
    <w:unhideWhenUsed/>
    <w:rsid w:val="003A00AF"/>
    <w:pPr>
      <w:autoSpaceDE w:val="0"/>
      <w:autoSpaceDN w:val="0"/>
      <w:spacing w:before="120" w:after="0" w:line="252" w:lineRule="auto"/>
      <w:ind w:left="992" w:right="851"/>
    </w:pPr>
    <w:rPr>
      <w:rFonts w:ascii="HelveticaNeueLTStd-Lt" w:hAnsi="HelveticaNeueLTStd-Lt" w:cs="Calibri"/>
      <w:color w:val="212327"/>
      <w:sz w:val="18"/>
      <w:szCs w:val="18"/>
    </w:rPr>
  </w:style>
  <w:style w:type="character" w:customStyle="1" w:styleId="BodyTextChar">
    <w:name w:val="Body Text Char"/>
    <w:basedOn w:val="DefaultParagraphFont"/>
    <w:link w:val="BodyText"/>
    <w:uiPriority w:val="1"/>
    <w:rsid w:val="003A00AF"/>
    <w:rPr>
      <w:rFonts w:ascii="HelveticaNeueLTStd-Lt" w:hAnsi="HelveticaNeueLTStd-Lt" w:cs="Calibri"/>
      <w:color w:val="212327"/>
      <w:sz w:val="18"/>
      <w:szCs w:val="18"/>
    </w:rPr>
  </w:style>
  <w:style w:type="paragraph" w:styleId="Revision">
    <w:name w:val="Revision"/>
    <w:hidden/>
    <w:uiPriority w:val="99"/>
    <w:semiHidden/>
    <w:rsid w:val="00441A03"/>
    <w:rPr>
      <w:rFonts w:ascii="Helvetica Neue" w:hAnsi="Helvetica Neue"/>
      <w:color w:val="252729"/>
      <w:sz w:val="16"/>
    </w:rPr>
  </w:style>
  <w:style w:type="character" w:styleId="CommentReference">
    <w:name w:val="annotation reference"/>
    <w:basedOn w:val="DefaultParagraphFont"/>
    <w:uiPriority w:val="99"/>
    <w:semiHidden/>
    <w:unhideWhenUsed/>
    <w:rsid w:val="003D1DDC"/>
    <w:rPr>
      <w:sz w:val="16"/>
      <w:szCs w:val="16"/>
    </w:rPr>
  </w:style>
  <w:style w:type="paragraph" w:styleId="CommentText">
    <w:name w:val="annotation text"/>
    <w:basedOn w:val="Normal"/>
    <w:link w:val="CommentTextChar"/>
    <w:uiPriority w:val="99"/>
    <w:unhideWhenUsed/>
    <w:rsid w:val="003D1DDC"/>
    <w:pPr>
      <w:spacing w:line="240" w:lineRule="auto"/>
    </w:pPr>
    <w:rPr>
      <w:sz w:val="20"/>
      <w:szCs w:val="20"/>
    </w:rPr>
  </w:style>
  <w:style w:type="character" w:customStyle="1" w:styleId="CommentTextChar">
    <w:name w:val="Comment Text Char"/>
    <w:basedOn w:val="DefaultParagraphFont"/>
    <w:link w:val="CommentText"/>
    <w:uiPriority w:val="99"/>
    <w:rsid w:val="003D1DDC"/>
    <w:rPr>
      <w:rFonts w:ascii="Helvetica Neue" w:hAnsi="Helvetica Neue"/>
      <w:color w:val="252729"/>
      <w:sz w:val="20"/>
      <w:szCs w:val="20"/>
    </w:rPr>
  </w:style>
  <w:style w:type="paragraph" w:styleId="CommentSubject">
    <w:name w:val="annotation subject"/>
    <w:basedOn w:val="CommentText"/>
    <w:next w:val="CommentText"/>
    <w:link w:val="CommentSubjectChar"/>
    <w:uiPriority w:val="99"/>
    <w:semiHidden/>
    <w:unhideWhenUsed/>
    <w:rsid w:val="003D1DDC"/>
    <w:rPr>
      <w:b/>
      <w:bCs/>
    </w:rPr>
  </w:style>
  <w:style w:type="character" w:customStyle="1" w:styleId="CommentSubjectChar">
    <w:name w:val="Comment Subject Char"/>
    <w:basedOn w:val="CommentTextChar"/>
    <w:link w:val="CommentSubject"/>
    <w:uiPriority w:val="99"/>
    <w:semiHidden/>
    <w:rsid w:val="003D1DDC"/>
    <w:rPr>
      <w:rFonts w:ascii="Helvetica Neue" w:hAnsi="Helvetica Neue"/>
      <w:b/>
      <w:bCs/>
      <w:color w:val="25272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8199">
      <w:bodyDiv w:val="1"/>
      <w:marLeft w:val="0"/>
      <w:marRight w:val="0"/>
      <w:marTop w:val="0"/>
      <w:marBottom w:val="0"/>
      <w:divBdr>
        <w:top w:val="none" w:sz="0" w:space="0" w:color="auto"/>
        <w:left w:val="none" w:sz="0" w:space="0" w:color="auto"/>
        <w:bottom w:val="none" w:sz="0" w:space="0" w:color="auto"/>
        <w:right w:val="none" w:sz="0" w:space="0" w:color="auto"/>
      </w:divBdr>
    </w:div>
    <w:div w:id="332144024">
      <w:bodyDiv w:val="1"/>
      <w:marLeft w:val="0"/>
      <w:marRight w:val="0"/>
      <w:marTop w:val="0"/>
      <w:marBottom w:val="0"/>
      <w:divBdr>
        <w:top w:val="none" w:sz="0" w:space="0" w:color="auto"/>
        <w:left w:val="none" w:sz="0" w:space="0" w:color="auto"/>
        <w:bottom w:val="none" w:sz="0" w:space="0" w:color="auto"/>
        <w:right w:val="none" w:sz="0" w:space="0" w:color="auto"/>
      </w:divBdr>
    </w:div>
    <w:div w:id="618071970">
      <w:bodyDiv w:val="1"/>
      <w:marLeft w:val="0"/>
      <w:marRight w:val="0"/>
      <w:marTop w:val="0"/>
      <w:marBottom w:val="0"/>
      <w:divBdr>
        <w:top w:val="none" w:sz="0" w:space="0" w:color="auto"/>
        <w:left w:val="none" w:sz="0" w:space="0" w:color="auto"/>
        <w:bottom w:val="none" w:sz="0" w:space="0" w:color="auto"/>
        <w:right w:val="none" w:sz="0" w:space="0" w:color="auto"/>
      </w:divBdr>
    </w:div>
    <w:div w:id="628248015">
      <w:bodyDiv w:val="1"/>
      <w:marLeft w:val="0"/>
      <w:marRight w:val="0"/>
      <w:marTop w:val="0"/>
      <w:marBottom w:val="0"/>
      <w:divBdr>
        <w:top w:val="none" w:sz="0" w:space="0" w:color="auto"/>
        <w:left w:val="none" w:sz="0" w:space="0" w:color="auto"/>
        <w:bottom w:val="none" w:sz="0" w:space="0" w:color="auto"/>
        <w:right w:val="none" w:sz="0" w:space="0" w:color="auto"/>
      </w:divBdr>
    </w:div>
    <w:div w:id="1017078778">
      <w:bodyDiv w:val="1"/>
      <w:marLeft w:val="0"/>
      <w:marRight w:val="0"/>
      <w:marTop w:val="0"/>
      <w:marBottom w:val="0"/>
      <w:divBdr>
        <w:top w:val="none" w:sz="0" w:space="0" w:color="auto"/>
        <w:left w:val="none" w:sz="0" w:space="0" w:color="auto"/>
        <w:bottom w:val="none" w:sz="0" w:space="0" w:color="auto"/>
        <w:right w:val="none" w:sz="0" w:space="0" w:color="auto"/>
      </w:divBdr>
    </w:div>
    <w:div w:id="1184324228">
      <w:bodyDiv w:val="1"/>
      <w:marLeft w:val="0"/>
      <w:marRight w:val="0"/>
      <w:marTop w:val="0"/>
      <w:marBottom w:val="0"/>
      <w:divBdr>
        <w:top w:val="none" w:sz="0" w:space="0" w:color="auto"/>
        <w:left w:val="none" w:sz="0" w:space="0" w:color="auto"/>
        <w:bottom w:val="none" w:sz="0" w:space="0" w:color="auto"/>
        <w:right w:val="none" w:sz="0" w:space="0" w:color="auto"/>
      </w:divBdr>
    </w:div>
    <w:div w:id="1430200142">
      <w:bodyDiv w:val="1"/>
      <w:marLeft w:val="0"/>
      <w:marRight w:val="0"/>
      <w:marTop w:val="0"/>
      <w:marBottom w:val="0"/>
      <w:divBdr>
        <w:top w:val="none" w:sz="0" w:space="0" w:color="auto"/>
        <w:left w:val="none" w:sz="0" w:space="0" w:color="auto"/>
        <w:bottom w:val="none" w:sz="0" w:space="0" w:color="auto"/>
        <w:right w:val="none" w:sz="0" w:space="0" w:color="auto"/>
      </w:divBdr>
    </w:div>
    <w:div w:id="1670014336">
      <w:bodyDiv w:val="1"/>
      <w:marLeft w:val="0"/>
      <w:marRight w:val="0"/>
      <w:marTop w:val="0"/>
      <w:marBottom w:val="0"/>
      <w:divBdr>
        <w:top w:val="none" w:sz="0" w:space="0" w:color="auto"/>
        <w:left w:val="none" w:sz="0" w:space="0" w:color="auto"/>
        <w:bottom w:val="none" w:sz="0" w:space="0" w:color="auto"/>
        <w:right w:val="none" w:sz="0" w:space="0" w:color="auto"/>
      </w:divBdr>
    </w:div>
    <w:div w:id="1747653305">
      <w:bodyDiv w:val="1"/>
      <w:marLeft w:val="0"/>
      <w:marRight w:val="0"/>
      <w:marTop w:val="0"/>
      <w:marBottom w:val="0"/>
      <w:divBdr>
        <w:top w:val="none" w:sz="0" w:space="0" w:color="auto"/>
        <w:left w:val="none" w:sz="0" w:space="0" w:color="auto"/>
        <w:bottom w:val="none" w:sz="0" w:space="0" w:color="auto"/>
        <w:right w:val="none" w:sz="0" w:space="0" w:color="auto"/>
      </w:divBdr>
    </w:div>
    <w:div w:id="1797217186">
      <w:bodyDiv w:val="1"/>
      <w:marLeft w:val="0"/>
      <w:marRight w:val="0"/>
      <w:marTop w:val="0"/>
      <w:marBottom w:val="0"/>
      <w:divBdr>
        <w:top w:val="none" w:sz="0" w:space="0" w:color="auto"/>
        <w:left w:val="none" w:sz="0" w:space="0" w:color="auto"/>
        <w:bottom w:val="none" w:sz="0" w:space="0" w:color="auto"/>
        <w:right w:val="none" w:sz="0" w:space="0" w:color="auto"/>
      </w:divBdr>
    </w:div>
    <w:div w:id="1806507659">
      <w:bodyDiv w:val="1"/>
      <w:marLeft w:val="0"/>
      <w:marRight w:val="0"/>
      <w:marTop w:val="0"/>
      <w:marBottom w:val="0"/>
      <w:divBdr>
        <w:top w:val="none" w:sz="0" w:space="0" w:color="auto"/>
        <w:left w:val="none" w:sz="0" w:space="0" w:color="auto"/>
        <w:bottom w:val="none" w:sz="0" w:space="0" w:color="auto"/>
        <w:right w:val="none" w:sz="0" w:space="0" w:color="auto"/>
      </w:divBdr>
    </w:div>
    <w:div w:id="1926725262">
      <w:bodyDiv w:val="1"/>
      <w:marLeft w:val="0"/>
      <w:marRight w:val="0"/>
      <w:marTop w:val="0"/>
      <w:marBottom w:val="0"/>
      <w:divBdr>
        <w:top w:val="none" w:sz="0" w:space="0" w:color="auto"/>
        <w:left w:val="none" w:sz="0" w:space="0" w:color="auto"/>
        <w:bottom w:val="none" w:sz="0" w:space="0" w:color="auto"/>
        <w:right w:val="none" w:sz="0" w:space="0" w:color="auto"/>
      </w:divBdr>
    </w:div>
    <w:div w:id="210923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252C-5CF1-44CC-98E9-A2D37B9B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Chin Lee</cp:lastModifiedBy>
  <cp:revision>3</cp:revision>
  <cp:lastPrinted>2018-07-06T05:34:00Z</cp:lastPrinted>
  <dcterms:created xsi:type="dcterms:W3CDTF">2023-02-27T23:22:00Z</dcterms:created>
  <dcterms:modified xsi:type="dcterms:W3CDTF">2023-02-27T23:23:00Z</dcterms:modified>
</cp:coreProperties>
</file>